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379"/>
        <w:gridCol w:w="3201"/>
        <w:gridCol w:w="869"/>
        <w:gridCol w:w="2693"/>
      </w:tblGrid>
      <w:tr w:rsidR="00213075" w:rsidRPr="00F033BB" w:rsidTr="007E0F87">
        <w:tc>
          <w:tcPr>
            <w:tcW w:w="2379" w:type="dxa"/>
            <w:tcBorders>
              <w:top w:val="single" w:sz="4" w:space="0" w:color="auto"/>
              <w:left w:val="single" w:sz="4" w:space="0" w:color="auto"/>
              <w:bottom w:val="single" w:sz="4" w:space="0" w:color="auto"/>
              <w:right w:val="single" w:sz="4" w:space="0" w:color="auto"/>
            </w:tcBorders>
            <w:vAlign w:val="center"/>
          </w:tcPr>
          <w:p w:rsidR="00213075" w:rsidRPr="00F033BB" w:rsidRDefault="00213075" w:rsidP="007E0F87">
            <w:pPr>
              <w:spacing w:before="80" w:after="80"/>
              <w:jc w:val="both"/>
              <w:rPr>
                <w:rFonts w:ascii="Garamond" w:hAnsi="Garamond"/>
                <w:spacing w:val="-3"/>
                <w:szCs w:val="24"/>
                <w:lang w:val="en-US"/>
              </w:rPr>
            </w:pPr>
            <w:r w:rsidRPr="00F033BB">
              <w:rPr>
                <w:rFonts w:ascii="Garamond" w:hAnsi="Garamond"/>
                <w:noProof/>
                <w:spacing w:val="-3"/>
                <w:szCs w:val="24"/>
                <w:lang w:eastAsia="fr-BE"/>
              </w:rPr>
              <w:drawing>
                <wp:inline distT="0" distB="0" distL="0" distR="0" wp14:anchorId="400096F2" wp14:editId="71ABAABC">
                  <wp:extent cx="561975" cy="619125"/>
                  <wp:effectExtent l="0" t="0" r="9525" b="9525"/>
                  <wp:docPr id="1" name="Image 1" descr="St D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t Do Mini"/>
                          <pic:cNvPicPr>
                            <a:picLocks noChangeAspect="1" noChangeArrowheads="1"/>
                          </pic:cNvPicPr>
                        </pic:nvPicPr>
                        <pic:blipFill>
                          <a:blip r:embed="rId9">
                            <a:extLst>
                              <a:ext uri="{28A0092B-C50C-407E-A947-70E740481C1C}">
                                <a14:useLocalDpi xmlns:a14="http://schemas.microsoft.com/office/drawing/2010/main" val="0"/>
                              </a:ext>
                            </a:extLst>
                          </a:blip>
                          <a:srcRect r="42647" b="22116"/>
                          <a:stretch>
                            <a:fillRect/>
                          </a:stretch>
                        </pic:blipFill>
                        <pic:spPr bwMode="auto">
                          <a:xfrm>
                            <a:off x="0" y="0"/>
                            <a:ext cx="561975" cy="619125"/>
                          </a:xfrm>
                          <a:prstGeom prst="rect">
                            <a:avLst/>
                          </a:prstGeom>
                          <a:noFill/>
                          <a:ln>
                            <a:noFill/>
                          </a:ln>
                        </pic:spPr>
                      </pic:pic>
                    </a:graphicData>
                  </a:graphic>
                </wp:inline>
              </w:drawing>
            </w:r>
          </w:p>
        </w:tc>
        <w:tc>
          <w:tcPr>
            <w:tcW w:w="3201" w:type="dxa"/>
            <w:tcBorders>
              <w:top w:val="single" w:sz="4" w:space="0" w:color="auto"/>
              <w:left w:val="single" w:sz="4" w:space="0" w:color="auto"/>
              <w:bottom w:val="single" w:sz="4" w:space="0" w:color="auto"/>
              <w:right w:val="single" w:sz="4" w:space="0" w:color="auto"/>
            </w:tcBorders>
            <w:vAlign w:val="center"/>
          </w:tcPr>
          <w:p w:rsidR="00213075" w:rsidRPr="00F033BB" w:rsidRDefault="00213075" w:rsidP="007E0F87">
            <w:pPr>
              <w:spacing w:before="40" w:after="40"/>
              <w:jc w:val="both"/>
              <w:rPr>
                <w:rFonts w:ascii="Garamond" w:hAnsi="Garamond"/>
                <w:spacing w:val="-3"/>
                <w:szCs w:val="24"/>
                <w:lang w:val="en-US"/>
              </w:rPr>
            </w:pPr>
            <w:proofErr w:type="spellStart"/>
            <w:r w:rsidRPr="00F033BB">
              <w:rPr>
                <w:rFonts w:ascii="Garamond" w:hAnsi="Garamond"/>
                <w:b/>
                <w:spacing w:val="-3"/>
                <w:szCs w:val="24"/>
                <w:lang w:val="en-US"/>
              </w:rPr>
              <w:t>Année</w:t>
            </w:r>
            <w:proofErr w:type="spellEnd"/>
            <w:r w:rsidRPr="00F033BB">
              <w:rPr>
                <w:rFonts w:ascii="Garamond" w:hAnsi="Garamond"/>
                <w:b/>
                <w:spacing w:val="-3"/>
                <w:szCs w:val="24"/>
                <w:lang w:val="en-US"/>
              </w:rPr>
              <w:t xml:space="preserve"> </w:t>
            </w:r>
            <w:proofErr w:type="spellStart"/>
            <w:r w:rsidRPr="00F033BB">
              <w:rPr>
                <w:rFonts w:ascii="Garamond" w:hAnsi="Garamond"/>
                <w:b/>
                <w:spacing w:val="-3"/>
                <w:szCs w:val="24"/>
                <w:lang w:val="en-US"/>
              </w:rPr>
              <w:t>scolaire</w:t>
            </w:r>
            <w:proofErr w:type="spellEnd"/>
            <w:r w:rsidRPr="00F033BB">
              <w:rPr>
                <w:rFonts w:ascii="Garamond" w:hAnsi="Garamond"/>
                <w:spacing w:val="-3"/>
                <w:szCs w:val="24"/>
                <w:lang w:val="en-US"/>
              </w:rPr>
              <w:t xml:space="preserve"> : </w:t>
            </w:r>
            <w:r>
              <w:rPr>
                <w:rFonts w:ascii="Garamond" w:hAnsi="Garamond"/>
                <w:b/>
                <w:bCs/>
                <w:i/>
                <w:iCs/>
                <w:spacing w:val="-3"/>
                <w:szCs w:val="24"/>
                <w:lang w:val="en-US"/>
              </w:rPr>
              <w:t>2015 – 2016</w:t>
            </w:r>
          </w:p>
          <w:p w:rsidR="00213075" w:rsidRPr="00F033BB" w:rsidRDefault="00213075" w:rsidP="007E0F87">
            <w:pPr>
              <w:spacing w:before="40" w:after="40"/>
              <w:jc w:val="both"/>
              <w:rPr>
                <w:rFonts w:ascii="Garamond" w:hAnsi="Garamond"/>
                <w:spacing w:val="-3"/>
                <w:szCs w:val="24"/>
                <w:lang w:val="en-US"/>
              </w:rPr>
            </w:pPr>
            <w:r w:rsidRPr="00F033BB">
              <w:rPr>
                <w:rFonts w:ascii="Garamond" w:hAnsi="Garamond"/>
                <w:b/>
                <w:spacing w:val="-3"/>
                <w:szCs w:val="24"/>
                <w:lang w:val="en-US"/>
              </w:rPr>
              <w:t>Date :</w:t>
            </w:r>
            <w:r>
              <w:rPr>
                <w:rFonts w:ascii="Garamond" w:hAnsi="Garamond"/>
                <w:spacing w:val="-3"/>
                <w:szCs w:val="24"/>
                <w:lang w:val="en-US"/>
              </w:rPr>
              <w:t xml:space="preserve"> </w:t>
            </w:r>
            <w:r w:rsidR="005D6362">
              <w:rPr>
                <w:rFonts w:ascii="Garamond" w:hAnsi="Garamond"/>
                <w:spacing w:val="-3"/>
                <w:szCs w:val="24"/>
                <w:lang w:val="en-US"/>
              </w:rPr>
              <w:t>1</w:t>
            </w:r>
            <w:r w:rsidR="0088356A">
              <w:rPr>
                <w:rFonts w:ascii="Garamond" w:hAnsi="Garamond"/>
                <w:spacing w:val="-3"/>
                <w:szCs w:val="24"/>
                <w:lang w:val="en-US"/>
              </w:rPr>
              <w:t>8</w:t>
            </w:r>
            <w:r>
              <w:rPr>
                <w:rFonts w:ascii="Garamond" w:hAnsi="Garamond"/>
                <w:spacing w:val="-3"/>
                <w:szCs w:val="24"/>
                <w:lang w:val="en-US"/>
              </w:rPr>
              <w:t>/11/2015</w:t>
            </w:r>
          </w:p>
        </w:tc>
        <w:tc>
          <w:tcPr>
            <w:tcW w:w="3562" w:type="dxa"/>
            <w:gridSpan w:val="2"/>
            <w:tcBorders>
              <w:top w:val="single" w:sz="4" w:space="0" w:color="auto"/>
              <w:left w:val="single" w:sz="4" w:space="0" w:color="auto"/>
              <w:bottom w:val="single" w:sz="4" w:space="0" w:color="auto"/>
              <w:right w:val="single" w:sz="4" w:space="0" w:color="auto"/>
            </w:tcBorders>
            <w:vAlign w:val="center"/>
          </w:tcPr>
          <w:p w:rsidR="00213075" w:rsidRPr="00F033BB" w:rsidRDefault="00213075" w:rsidP="007E0F87">
            <w:pPr>
              <w:tabs>
                <w:tab w:val="left" w:pos="708"/>
                <w:tab w:val="center" w:pos="4536"/>
                <w:tab w:val="right" w:pos="9072"/>
              </w:tabs>
              <w:spacing w:before="80" w:after="80"/>
              <w:jc w:val="both"/>
              <w:rPr>
                <w:rFonts w:ascii="Garamond" w:hAnsi="Garamond"/>
                <w:b/>
                <w:szCs w:val="24"/>
                <w:lang w:val="fr-FR" w:eastAsia="fr-FR"/>
              </w:rPr>
            </w:pPr>
            <w:r w:rsidRPr="00F033BB">
              <w:rPr>
                <w:rFonts w:ascii="Garamond" w:hAnsi="Garamond"/>
                <w:b/>
                <w:szCs w:val="24"/>
                <w:lang w:val="fr-FR" w:eastAsia="fr-FR"/>
              </w:rPr>
              <w:t xml:space="preserve">Nom : </w:t>
            </w:r>
          </w:p>
          <w:p w:rsidR="00213075" w:rsidRPr="00C6314D" w:rsidRDefault="00213075" w:rsidP="007E0F87">
            <w:pPr>
              <w:spacing w:before="80" w:after="80"/>
              <w:jc w:val="both"/>
              <w:rPr>
                <w:rFonts w:ascii="Garamond" w:hAnsi="Garamond"/>
                <w:b/>
                <w:spacing w:val="-3"/>
                <w:szCs w:val="24"/>
              </w:rPr>
            </w:pPr>
            <w:r w:rsidRPr="00C6314D">
              <w:rPr>
                <w:rFonts w:ascii="Garamond" w:hAnsi="Garamond"/>
                <w:b/>
                <w:spacing w:val="-3"/>
                <w:szCs w:val="24"/>
              </w:rPr>
              <w:t>Prénom :</w:t>
            </w:r>
          </w:p>
          <w:p w:rsidR="00213075" w:rsidRPr="00C6314D" w:rsidRDefault="00213075" w:rsidP="007E0F87">
            <w:pPr>
              <w:spacing w:before="80" w:after="80"/>
              <w:jc w:val="both"/>
              <w:rPr>
                <w:rFonts w:ascii="Garamond" w:hAnsi="Garamond"/>
                <w:spacing w:val="-3"/>
                <w:szCs w:val="24"/>
              </w:rPr>
            </w:pPr>
            <w:r w:rsidRPr="00C6314D">
              <w:rPr>
                <w:rFonts w:ascii="Garamond" w:hAnsi="Garamond"/>
                <w:b/>
                <w:spacing w:val="-3"/>
                <w:szCs w:val="24"/>
              </w:rPr>
              <w:t>Classe :</w:t>
            </w:r>
            <w:r w:rsidRPr="00C6314D">
              <w:rPr>
                <w:rFonts w:ascii="Garamond" w:hAnsi="Garamond"/>
                <w:spacing w:val="-3"/>
                <w:szCs w:val="24"/>
              </w:rPr>
              <w:t xml:space="preserve"> </w:t>
            </w:r>
            <w:r w:rsidRPr="00C6314D">
              <w:rPr>
                <w:rFonts w:ascii="Garamond" w:hAnsi="Garamond"/>
                <w:b/>
                <w:spacing w:val="-3"/>
                <w:szCs w:val="24"/>
              </w:rPr>
              <w:t xml:space="preserve">  5 </w:t>
            </w:r>
            <w:r w:rsidRPr="00C6314D">
              <w:rPr>
                <w:rFonts w:ascii="Garamond" w:hAnsi="Garamond"/>
                <w:b/>
                <w:spacing w:val="-3"/>
                <w:szCs w:val="24"/>
                <w:vertAlign w:val="superscript"/>
              </w:rPr>
              <w:t>e</w:t>
            </w:r>
            <w:r w:rsidRPr="00C6314D">
              <w:rPr>
                <w:rFonts w:ascii="Garamond" w:hAnsi="Garamond"/>
                <w:b/>
                <w:spacing w:val="-3"/>
                <w:szCs w:val="24"/>
              </w:rPr>
              <w:t xml:space="preserve"> </w:t>
            </w:r>
            <w:r w:rsidR="0088356A">
              <w:rPr>
                <w:rFonts w:ascii="Garamond" w:hAnsi="Garamond"/>
                <w:b/>
                <w:spacing w:val="-3"/>
                <w:szCs w:val="24"/>
              </w:rPr>
              <w:t>A</w:t>
            </w:r>
            <w:r w:rsidRPr="00C6314D">
              <w:rPr>
                <w:rFonts w:ascii="Garamond" w:hAnsi="Garamond"/>
                <w:b/>
                <w:spacing w:val="-3"/>
                <w:szCs w:val="24"/>
              </w:rPr>
              <w:t xml:space="preserve">     n°</w:t>
            </w:r>
          </w:p>
        </w:tc>
      </w:tr>
      <w:tr w:rsidR="00213075" w:rsidRPr="00F033BB" w:rsidTr="002B3F1A">
        <w:trPr>
          <w:trHeight w:val="668"/>
        </w:trPr>
        <w:tc>
          <w:tcPr>
            <w:tcW w:w="2379" w:type="dxa"/>
            <w:tcBorders>
              <w:top w:val="single" w:sz="4" w:space="0" w:color="auto"/>
              <w:left w:val="single" w:sz="4" w:space="0" w:color="auto"/>
              <w:bottom w:val="single" w:sz="4" w:space="0" w:color="auto"/>
              <w:right w:val="single" w:sz="4" w:space="0" w:color="auto"/>
            </w:tcBorders>
            <w:vAlign w:val="center"/>
          </w:tcPr>
          <w:p w:rsidR="00213075" w:rsidRPr="00F033BB" w:rsidRDefault="00213075" w:rsidP="007E0F87">
            <w:pPr>
              <w:tabs>
                <w:tab w:val="left" w:pos="708"/>
                <w:tab w:val="center" w:pos="4536"/>
                <w:tab w:val="right" w:pos="9072"/>
              </w:tabs>
              <w:spacing w:before="40" w:after="40"/>
              <w:jc w:val="both"/>
              <w:rPr>
                <w:rFonts w:ascii="Garamond" w:hAnsi="Garamond"/>
                <w:b/>
                <w:szCs w:val="24"/>
                <w:lang w:val="fr-FR" w:eastAsia="fr-FR"/>
              </w:rPr>
            </w:pPr>
            <w:r w:rsidRPr="00F033BB">
              <w:rPr>
                <w:rFonts w:ascii="Garamond" w:hAnsi="Garamond"/>
                <w:szCs w:val="24"/>
                <w:lang w:val="fr-FR" w:eastAsia="fr-FR"/>
              </w:rPr>
              <w:t>Contrôle d</w:t>
            </w:r>
            <w:r>
              <w:rPr>
                <w:rFonts w:ascii="Garamond" w:hAnsi="Garamond"/>
                <w:szCs w:val="24"/>
                <w:lang w:val="fr-FR" w:eastAsia="fr-FR"/>
              </w:rPr>
              <w:t xml:space="preserve">e </w:t>
            </w:r>
            <w:r w:rsidRPr="00F033BB">
              <w:rPr>
                <w:rFonts w:ascii="Garamond" w:hAnsi="Garamond"/>
                <w:b/>
                <w:szCs w:val="24"/>
                <w:lang w:val="fr-FR" w:eastAsia="fr-FR"/>
              </w:rPr>
              <w:t>sciences économiques</w:t>
            </w:r>
          </w:p>
          <w:p w:rsidR="00213075" w:rsidRPr="00F033BB" w:rsidRDefault="00213075" w:rsidP="007E0F87">
            <w:pPr>
              <w:tabs>
                <w:tab w:val="left" w:pos="708"/>
                <w:tab w:val="center" w:pos="4536"/>
                <w:tab w:val="right" w:pos="9072"/>
              </w:tabs>
              <w:spacing w:before="40" w:after="40"/>
              <w:jc w:val="both"/>
              <w:rPr>
                <w:rFonts w:ascii="Garamond" w:hAnsi="Garamond"/>
                <w:szCs w:val="24"/>
                <w:lang w:val="fr-FR" w:eastAsia="fr-FR"/>
              </w:rPr>
            </w:pPr>
            <w:r w:rsidRPr="00F033BB">
              <w:rPr>
                <w:rFonts w:ascii="Garamond" w:hAnsi="Garamond"/>
                <w:szCs w:val="24"/>
                <w:lang w:val="fr-FR" w:eastAsia="fr-FR"/>
              </w:rPr>
              <w:t>4P/semaine</w:t>
            </w:r>
          </w:p>
        </w:tc>
        <w:tc>
          <w:tcPr>
            <w:tcW w:w="4070" w:type="dxa"/>
            <w:gridSpan w:val="2"/>
            <w:tcBorders>
              <w:top w:val="single" w:sz="4" w:space="0" w:color="auto"/>
              <w:left w:val="single" w:sz="4" w:space="0" w:color="auto"/>
              <w:bottom w:val="single" w:sz="4" w:space="0" w:color="auto"/>
              <w:right w:val="single" w:sz="4" w:space="0" w:color="auto"/>
            </w:tcBorders>
            <w:vAlign w:val="center"/>
          </w:tcPr>
          <w:p w:rsidR="00213075" w:rsidRPr="00F033BB" w:rsidRDefault="00213075" w:rsidP="007E0F87">
            <w:pPr>
              <w:spacing w:before="40" w:after="40"/>
              <w:jc w:val="both"/>
              <w:rPr>
                <w:rFonts w:ascii="Garamond" w:hAnsi="Garamond"/>
                <w:spacing w:val="-3"/>
                <w:szCs w:val="24"/>
                <w:lang w:val="en-US"/>
              </w:rPr>
            </w:pPr>
            <w:proofErr w:type="spellStart"/>
            <w:r w:rsidRPr="00F033BB">
              <w:rPr>
                <w:rFonts w:ascii="Garamond" w:hAnsi="Garamond"/>
                <w:b/>
                <w:spacing w:val="-3"/>
                <w:szCs w:val="24"/>
                <w:lang w:val="en-US"/>
              </w:rPr>
              <w:t>Professeur</w:t>
            </w:r>
            <w:proofErr w:type="spellEnd"/>
            <w:r w:rsidRPr="00F033BB">
              <w:rPr>
                <w:rFonts w:ascii="Garamond" w:hAnsi="Garamond"/>
                <w:b/>
                <w:spacing w:val="-3"/>
                <w:szCs w:val="24"/>
                <w:lang w:val="en-US"/>
              </w:rPr>
              <w:t>:</w:t>
            </w:r>
            <w:r w:rsidRPr="00F033BB">
              <w:rPr>
                <w:rFonts w:ascii="Garamond" w:hAnsi="Garamond"/>
                <w:spacing w:val="-3"/>
                <w:szCs w:val="24"/>
                <w:lang w:val="en-US"/>
              </w:rPr>
              <w:t xml:space="preserve"> Aurore HANNON</w:t>
            </w:r>
          </w:p>
        </w:tc>
        <w:tc>
          <w:tcPr>
            <w:tcW w:w="2693" w:type="dxa"/>
            <w:tcBorders>
              <w:top w:val="single" w:sz="4" w:space="0" w:color="auto"/>
              <w:left w:val="single" w:sz="4" w:space="0" w:color="auto"/>
              <w:bottom w:val="single" w:sz="4" w:space="0" w:color="auto"/>
              <w:right w:val="single" w:sz="4" w:space="0" w:color="auto"/>
            </w:tcBorders>
            <w:vAlign w:val="center"/>
          </w:tcPr>
          <w:p w:rsidR="00213075" w:rsidRPr="00F033BB" w:rsidRDefault="00213075" w:rsidP="007E0F87">
            <w:pPr>
              <w:spacing w:before="40" w:after="40"/>
              <w:jc w:val="both"/>
              <w:rPr>
                <w:rFonts w:ascii="Garamond" w:hAnsi="Garamond"/>
                <w:spacing w:val="-3"/>
                <w:szCs w:val="24"/>
                <w:lang w:val="en-US"/>
              </w:rPr>
            </w:pPr>
            <w:r>
              <w:rPr>
                <w:rFonts w:ascii="Garamond" w:hAnsi="Garamond"/>
                <w:spacing w:val="-3"/>
                <w:szCs w:val="24"/>
                <w:lang w:val="en-US"/>
              </w:rPr>
              <w:t xml:space="preserve">  </w:t>
            </w:r>
            <w:r w:rsidR="002B3F1A">
              <w:rPr>
                <w:rFonts w:ascii="Garamond" w:hAnsi="Garamond"/>
                <w:spacing w:val="-3"/>
                <w:szCs w:val="24"/>
                <w:lang w:val="en-US"/>
              </w:rPr>
              <w:t xml:space="preserve">      </w:t>
            </w:r>
            <w:r>
              <w:rPr>
                <w:rFonts w:ascii="Garamond" w:hAnsi="Garamond"/>
                <w:spacing w:val="-3"/>
                <w:szCs w:val="24"/>
                <w:lang w:val="en-US"/>
              </w:rPr>
              <w:t xml:space="preserve">       </w:t>
            </w:r>
            <w:r w:rsidR="003550FC">
              <w:rPr>
                <w:rFonts w:ascii="Garamond" w:hAnsi="Garamond"/>
                <w:spacing w:val="-3"/>
                <w:szCs w:val="24"/>
                <w:lang w:val="en-US"/>
              </w:rPr>
              <w:t xml:space="preserve">       </w:t>
            </w:r>
            <w:r>
              <w:rPr>
                <w:rFonts w:ascii="Garamond" w:hAnsi="Garamond"/>
                <w:spacing w:val="-3"/>
                <w:szCs w:val="24"/>
                <w:lang w:val="en-US"/>
              </w:rPr>
              <w:t xml:space="preserve"> /</w:t>
            </w:r>
            <w:r w:rsidR="003550FC">
              <w:rPr>
                <w:rFonts w:ascii="Garamond" w:hAnsi="Garamond"/>
                <w:spacing w:val="-3"/>
                <w:szCs w:val="24"/>
                <w:lang w:val="en-US"/>
              </w:rPr>
              <w:t>25</w:t>
            </w:r>
          </w:p>
        </w:tc>
      </w:tr>
    </w:tbl>
    <w:p w:rsidR="009172C5" w:rsidRPr="00A1587A" w:rsidRDefault="009172C5">
      <w:pPr>
        <w:ind w:left="-720" w:firstLine="720"/>
      </w:pPr>
    </w:p>
    <w:p w:rsidR="009172C5" w:rsidRPr="00A1587A" w:rsidRDefault="009172C5"/>
    <w:p w:rsidR="009172C5" w:rsidRPr="00A1587A" w:rsidRDefault="00D31A39">
      <w:pPr>
        <w:ind w:firstLine="15"/>
        <w:rPr>
          <w:b/>
          <w:u w:val="single"/>
        </w:rPr>
      </w:pPr>
      <w:r>
        <w:rPr>
          <w:b/>
          <w:u w:val="single"/>
        </w:rPr>
        <w:t>Question 1</w:t>
      </w:r>
      <w:r w:rsidR="009172C5" w:rsidRPr="00A1587A">
        <w:rPr>
          <w:b/>
          <w:u w:val="single"/>
        </w:rPr>
        <w:tab/>
      </w:r>
      <w:r w:rsidR="009172C5" w:rsidRPr="00A1587A">
        <w:rPr>
          <w:b/>
          <w:u w:val="single"/>
        </w:rPr>
        <w:tab/>
      </w:r>
      <w:r w:rsidR="009172C5" w:rsidRPr="00A1587A">
        <w:rPr>
          <w:b/>
          <w:u w:val="single"/>
        </w:rPr>
        <w:tab/>
      </w:r>
      <w:r w:rsidR="009172C5" w:rsidRPr="00A1587A">
        <w:rPr>
          <w:b/>
          <w:u w:val="single"/>
        </w:rPr>
        <w:tab/>
      </w:r>
      <w:r w:rsidR="009172C5" w:rsidRPr="00A1587A">
        <w:rPr>
          <w:b/>
          <w:u w:val="single"/>
        </w:rPr>
        <w:tab/>
      </w:r>
      <w:r w:rsidR="009172C5" w:rsidRPr="00A1587A">
        <w:rPr>
          <w:b/>
          <w:u w:val="single"/>
        </w:rPr>
        <w:tab/>
      </w:r>
      <w:r w:rsidR="009172C5" w:rsidRPr="00A1587A">
        <w:rPr>
          <w:b/>
          <w:u w:val="single"/>
        </w:rPr>
        <w:tab/>
      </w:r>
      <w:r w:rsidR="009172C5" w:rsidRPr="00A1587A">
        <w:rPr>
          <w:b/>
          <w:u w:val="single"/>
        </w:rPr>
        <w:tab/>
      </w:r>
      <w:r w:rsidR="009172C5" w:rsidRPr="00A1587A">
        <w:rPr>
          <w:b/>
          <w:u w:val="single"/>
        </w:rPr>
        <w:tab/>
      </w:r>
      <w:r w:rsidR="009172C5" w:rsidRPr="00A1587A">
        <w:rPr>
          <w:b/>
          <w:u w:val="single"/>
        </w:rPr>
        <w:tab/>
      </w:r>
      <w:r w:rsidR="009172C5" w:rsidRPr="00A1587A">
        <w:rPr>
          <w:b/>
          <w:u w:val="single"/>
        </w:rPr>
        <w:tab/>
      </w:r>
      <w:r w:rsidR="003550FC">
        <w:rPr>
          <w:b/>
          <w:u w:val="single"/>
        </w:rPr>
        <w:t>/15</w:t>
      </w:r>
    </w:p>
    <w:p w:rsidR="009172C5" w:rsidRPr="00A1587A" w:rsidRDefault="009172C5">
      <w:pPr>
        <w:ind w:firstLine="15"/>
        <w:rPr>
          <w:b/>
          <w:u w:val="single"/>
        </w:rPr>
      </w:pPr>
    </w:p>
    <w:p w:rsidR="00442D07" w:rsidRPr="00442D07" w:rsidRDefault="00442D07" w:rsidP="00442D07">
      <w:pPr>
        <w:pStyle w:val="Titre1"/>
        <w:widowControl w:val="0"/>
        <w:tabs>
          <w:tab w:val="clear" w:pos="432"/>
          <w:tab w:val="num" w:pos="0"/>
        </w:tabs>
        <w:ind w:left="0" w:firstLine="0"/>
        <w:jc w:val="both"/>
        <w:rPr>
          <w:rFonts w:ascii="Times New Roman" w:hAnsi="Times New Roman"/>
          <w:b w:val="0"/>
          <w:bCs w:val="0"/>
          <w:sz w:val="26"/>
          <w:szCs w:val="26"/>
          <w:u w:val="none"/>
        </w:rPr>
      </w:pPr>
      <w:r w:rsidRPr="00442D07">
        <w:rPr>
          <w:rFonts w:ascii="Times New Roman" w:hAnsi="Times New Roman"/>
          <w:b w:val="0"/>
          <w:bCs w:val="0"/>
          <w:sz w:val="26"/>
          <w:szCs w:val="26"/>
          <w:u w:val="none"/>
        </w:rPr>
        <w:t xml:space="preserve">Lis le texte en annexe: « BCE : priorité à la relance de l'inflation, annonce </w:t>
      </w:r>
      <w:proofErr w:type="spellStart"/>
      <w:r w:rsidRPr="00442D07">
        <w:rPr>
          <w:rFonts w:ascii="Times New Roman" w:hAnsi="Times New Roman"/>
          <w:b w:val="0"/>
          <w:bCs w:val="0"/>
          <w:sz w:val="26"/>
          <w:szCs w:val="26"/>
          <w:u w:val="none"/>
        </w:rPr>
        <w:t>Draghi</w:t>
      </w:r>
      <w:proofErr w:type="spellEnd"/>
      <w:r w:rsidRPr="00442D07">
        <w:rPr>
          <w:rFonts w:ascii="Times New Roman" w:hAnsi="Times New Roman"/>
          <w:b w:val="0"/>
          <w:bCs w:val="0"/>
          <w:sz w:val="26"/>
          <w:szCs w:val="26"/>
          <w:u w:val="none"/>
        </w:rPr>
        <w:t> </w:t>
      </w:r>
      <w:proofErr w:type="gramStart"/>
      <w:r w:rsidRPr="00442D07">
        <w:rPr>
          <w:rFonts w:ascii="Times New Roman" w:hAnsi="Times New Roman"/>
          <w:b w:val="0"/>
          <w:bCs w:val="0"/>
          <w:sz w:val="26"/>
          <w:szCs w:val="26"/>
          <w:u w:val="none"/>
        </w:rPr>
        <w:t>» ,</w:t>
      </w:r>
      <w:proofErr w:type="gramEnd"/>
      <w:r w:rsidRPr="00442D07">
        <w:rPr>
          <w:rFonts w:ascii="Times New Roman" w:hAnsi="Times New Roman"/>
          <w:b w:val="0"/>
          <w:bCs w:val="0"/>
          <w:sz w:val="26"/>
          <w:szCs w:val="26"/>
          <w:u w:val="none"/>
        </w:rPr>
        <w:t xml:space="preserve"> complète les pointillés dans le texte et réponds ensuite aux questions suivantes : </w:t>
      </w:r>
    </w:p>
    <w:p w:rsidR="00442D07" w:rsidRPr="00BB4F2A" w:rsidRDefault="00442D07" w:rsidP="00442D07">
      <w:pPr>
        <w:jc w:val="both"/>
        <w:rPr>
          <w:sz w:val="26"/>
          <w:szCs w:val="26"/>
        </w:rPr>
      </w:pPr>
    </w:p>
    <w:p w:rsidR="00442D07" w:rsidRDefault="00442D07" w:rsidP="00442D07">
      <w:pPr>
        <w:pStyle w:val="Paragraphedeliste"/>
        <w:widowControl w:val="0"/>
        <w:numPr>
          <w:ilvl w:val="0"/>
          <w:numId w:val="6"/>
        </w:numPr>
        <w:jc w:val="both"/>
        <w:rPr>
          <w:sz w:val="26"/>
          <w:szCs w:val="26"/>
        </w:rPr>
      </w:pPr>
      <w:r w:rsidRPr="00BB4F2A">
        <w:rPr>
          <w:sz w:val="26"/>
          <w:szCs w:val="26"/>
        </w:rPr>
        <w:t xml:space="preserve">Pourquoi </w:t>
      </w:r>
      <w:r w:rsidR="00577D6D">
        <w:rPr>
          <w:sz w:val="26"/>
          <w:szCs w:val="26"/>
        </w:rPr>
        <w:t xml:space="preserve">Mario </w:t>
      </w:r>
      <w:proofErr w:type="spellStart"/>
      <w:r w:rsidR="00577D6D">
        <w:rPr>
          <w:sz w:val="26"/>
          <w:szCs w:val="26"/>
        </w:rPr>
        <w:t>Draghi</w:t>
      </w:r>
      <w:proofErr w:type="spellEnd"/>
      <w:r w:rsidR="00577D6D">
        <w:rPr>
          <w:sz w:val="26"/>
          <w:szCs w:val="26"/>
        </w:rPr>
        <w:t xml:space="preserve"> </w:t>
      </w:r>
      <w:r w:rsidRPr="00BB4F2A">
        <w:rPr>
          <w:sz w:val="26"/>
          <w:szCs w:val="26"/>
        </w:rPr>
        <w:t>dit-il que la répons</w:t>
      </w:r>
      <w:r w:rsidR="00577D6D">
        <w:rPr>
          <w:sz w:val="26"/>
          <w:szCs w:val="26"/>
        </w:rPr>
        <w:t>e est non-conventionnelle ? Quelles seraient les</w:t>
      </w:r>
      <w:r w:rsidRPr="00BB4F2A">
        <w:rPr>
          <w:sz w:val="26"/>
          <w:szCs w:val="26"/>
        </w:rPr>
        <w:t xml:space="preserve"> </w:t>
      </w:r>
      <w:r w:rsidR="00254EB5">
        <w:rPr>
          <w:sz w:val="26"/>
          <w:szCs w:val="26"/>
        </w:rPr>
        <w:t xml:space="preserve">deux </w:t>
      </w:r>
      <w:r w:rsidRPr="00BB4F2A">
        <w:rPr>
          <w:sz w:val="26"/>
          <w:szCs w:val="26"/>
        </w:rPr>
        <w:t>réponses « conventionnelles »</w:t>
      </w:r>
      <w:r w:rsidR="00193159">
        <w:rPr>
          <w:sz w:val="26"/>
          <w:szCs w:val="26"/>
        </w:rPr>
        <w:t xml:space="preserve"> à un manque de croissance</w:t>
      </w:r>
      <w:r w:rsidR="00577D6D">
        <w:rPr>
          <w:sz w:val="26"/>
          <w:szCs w:val="26"/>
        </w:rPr>
        <w:t>? Explique brièvement en quoi elles consistent.</w:t>
      </w:r>
    </w:p>
    <w:p w:rsidR="00442D07" w:rsidRDefault="00442D07" w:rsidP="00442D07">
      <w:pPr>
        <w:jc w:val="both"/>
        <w:rPr>
          <w:sz w:val="26"/>
          <w:szCs w:val="26"/>
        </w:rPr>
      </w:pPr>
    </w:p>
    <w:p w:rsidR="00442D07" w:rsidRDefault="00442D07" w:rsidP="00442D07">
      <w:pPr>
        <w:jc w:val="both"/>
        <w:rPr>
          <w:sz w:val="26"/>
          <w:szCs w:val="26"/>
        </w:rPr>
      </w:pPr>
    </w:p>
    <w:p w:rsidR="00442D07" w:rsidRDefault="00442D07" w:rsidP="00442D07">
      <w:pPr>
        <w:jc w:val="both"/>
        <w:rPr>
          <w:sz w:val="26"/>
          <w:szCs w:val="26"/>
        </w:rPr>
      </w:pPr>
    </w:p>
    <w:p w:rsidR="00442D07" w:rsidRDefault="00442D07" w:rsidP="00442D07">
      <w:pPr>
        <w:jc w:val="both"/>
        <w:rPr>
          <w:sz w:val="26"/>
          <w:szCs w:val="26"/>
        </w:rPr>
      </w:pPr>
    </w:p>
    <w:p w:rsidR="00442D07" w:rsidRDefault="00442D07" w:rsidP="00442D07">
      <w:pPr>
        <w:jc w:val="both"/>
        <w:rPr>
          <w:sz w:val="26"/>
          <w:szCs w:val="26"/>
        </w:rPr>
      </w:pPr>
    </w:p>
    <w:p w:rsidR="007A21A5" w:rsidRDefault="007A21A5" w:rsidP="00442D07">
      <w:pPr>
        <w:jc w:val="both"/>
        <w:rPr>
          <w:sz w:val="26"/>
          <w:szCs w:val="26"/>
        </w:rPr>
      </w:pPr>
    </w:p>
    <w:p w:rsidR="007A21A5" w:rsidRDefault="007A21A5" w:rsidP="00442D07">
      <w:pPr>
        <w:jc w:val="both"/>
        <w:rPr>
          <w:sz w:val="26"/>
          <w:szCs w:val="26"/>
        </w:rPr>
      </w:pPr>
    </w:p>
    <w:p w:rsidR="00442D07" w:rsidRDefault="00442D07" w:rsidP="00442D07">
      <w:pPr>
        <w:jc w:val="both"/>
        <w:rPr>
          <w:sz w:val="26"/>
          <w:szCs w:val="26"/>
        </w:rPr>
      </w:pPr>
    </w:p>
    <w:p w:rsidR="00577D6D" w:rsidRDefault="00577D6D" w:rsidP="00442D07">
      <w:pPr>
        <w:jc w:val="both"/>
        <w:rPr>
          <w:sz w:val="26"/>
          <w:szCs w:val="26"/>
        </w:rPr>
      </w:pPr>
    </w:p>
    <w:p w:rsidR="002842BC" w:rsidRDefault="002842BC" w:rsidP="00442D07">
      <w:pPr>
        <w:jc w:val="both"/>
        <w:rPr>
          <w:sz w:val="26"/>
          <w:szCs w:val="26"/>
        </w:rPr>
      </w:pPr>
    </w:p>
    <w:p w:rsidR="002842BC" w:rsidRDefault="002842BC" w:rsidP="00442D07">
      <w:pPr>
        <w:jc w:val="both"/>
        <w:rPr>
          <w:sz w:val="26"/>
          <w:szCs w:val="26"/>
        </w:rPr>
      </w:pPr>
    </w:p>
    <w:p w:rsidR="00577D6D" w:rsidRDefault="00577D6D" w:rsidP="00442D07">
      <w:pPr>
        <w:jc w:val="both"/>
        <w:rPr>
          <w:sz w:val="26"/>
          <w:szCs w:val="26"/>
        </w:rPr>
      </w:pPr>
    </w:p>
    <w:p w:rsidR="00442D07" w:rsidRDefault="00442D07" w:rsidP="00442D07">
      <w:pPr>
        <w:jc w:val="both"/>
        <w:rPr>
          <w:sz w:val="26"/>
          <w:szCs w:val="26"/>
        </w:rPr>
      </w:pPr>
    </w:p>
    <w:p w:rsidR="00442D07" w:rsidRDefault="00442D07" w:rsidP="00442D07">
      <w:pPr>
        <w:jc w:val="both"/>
        <w:rPr>
          <w:sz w:val="26"/>
          <w:szCs w:val="26"/>
        </w:rPr>
      </w:pPr>
    </w:p>
    <w:p w:rsidR="00442D07" w:rsidRDefault="00442D07" w:rsidP="00442D07">
      <w:pPr>
        <w:jc w:val="both"/>
        <w:rPr>
          <w:sz w:val="26"/>
          <w:szCs w:val="26"/>
        </w:rPr>
      </w:pPr>
    </w:p>
    <w:p w:rsidR="00442D07" w:rsidRPr="00BB4F2A" w:rsidRDefault="00442D07" w:rsidP="00442D07">
      <w:pPr>
        <w:jc w:val="both"/>
        <w:rPr>
          <w:sz w:val="26"/>
          <w:szCs w:val="26"/>
        </w:rPr>
      </w:pPr>
    </w:p>
    <w:p w:rsidR="00442D07" w:rsidRPr="00727493" w:rsidRDefault="00442D07" w:rsidP="00442D07">
      <w:pPr>
        <w:pStyle w:val="Paragraphedeliste"/>
        <w:widowControl w:val="0"/>
        <w:numPr>
          <w:ilvl w:val="0"/>
          <w:numId w:val="6"/>
        </w:numPr>
        <w:jc w:val="both"/>
        <w:rPr>
          <w:sz w:val="26"/>
          <w:szCs w:val="26"/>
        </w:rPr>
      </w:pPr>
      <w:r>
        <w:rPr>
          <w:sz w:val="26"/>
          <w:szCs w:val="26"/>
        </w:rPr>
        <w:t>Que signifie la 2</w:t>
      </w:r>
      <w:r w:rsidRPr="00B554D6">
        <w:rPr>
          <w:sz w:val="26"/>
          <w:szCs w:val="26"/>
          <w:vertAlign w:val="superscript"/>
        </w:rPr>
        <w:t>ème</w:t>
      </w:r>
      <w:r>
        <w:rPr>
          <w:sz w:val="26"/>
          <w:szCs w:val="26"/>
        </w:rPr>
        <w:t xml:space="preserve"> </w:t>
      </w:r>
      <w:r w:rsidRPr="00BB4F2A">
        <w:rPr>
          <w:sz w:val="26"/>
          <w:szCs w:val="26"/>
        </w:rPr>
        <w:t xml:space="preserve"> phrase </w:t>
      </w:r>
      <w:r>
        <w:rPr>
          <w:sz w:val="26"/>
          <w:szCs w:val="26"/>
        </w:rPr>
        <w:t xml:space="preserve">soulignée </w:t>
      </w:r>
      <w:r w:rsidRPr="00BB4F2A">
        <w:rPr>
          <w:sz w:val="26"/>
          <w:szCs w:val="26"/>
        </w:rPr>
        <w:t>et quel impact a-t-elle ?</w:t>
      </w:r>
    </w:p>
    <w:p w:rsidR="00442D07" w:rsidRDefault="00442D07" w:rsidP="00442D07">
      <w:pPr>
        <w:jc w:val="both"/>
        <w:rPr>
          <w:sz w:val="26"/>
          <w:szCs w:val="26"/>
        </w:rPr>
      </w:pPr>
    </w:p>
    <w:p w:rsidR="00442D07" w:rsidRDefault="00442D07" w:rsidP="00442D07">
      <w:pPr>
        <w:jc w:val="both"/>
        <w:rPr>
          <w:sz w:val="26"/>
          <w:szCs w:val="26"/>
        </w:rPr>
      </w:pPr>
    </w:p>
    <w:p w:rsidR="00442D07" w:rsidRDefault="00442D07" w:rsidP="00442D07">
      <w:pPr>
        <w:jc w:val="both"/>
        <w:rPr>
          <w:sz w:val="26"/>
          <w:szCs w:val="26"/>
        </w:rPr>
      </w:pPr>
    </w:p>
    <w:p w:rsidR="007A21A5" w:rsidRDefault="007A21A5" w:rsidP="00442D07">
      <w:pPr>
        <w:jc w:val="both"/>
        <w:rPr>
          <w:sz w:val="26"/>
          <w:szCs w:val="26"/>
        </w:rPr>
      </w:pPr>
    </w:p>
    <w:p w:rsidR="007A21A5" w:rsidRDefault="007A21A5" w:rsidP="00442D07">
      <w:pPr>
        <w:jc w:val="both"/>
        <w:rPr>
          <w:sz w:val="26"/>
          <w:szCs w:val="26"/>
        </w:rPr>
      </w:pPr>
    </w:p>
    <w:p w:rsidR="00442D07" w:rsidRDefault="00442D07" w:rsidP="00442D07">
      <w:pPr>
        <w:jc w:val="both"/>
        <w:rPr>
          <w:sz w:val="26"/>
          <w:szCs w:val="26"/>
        </w:rPr>
      </w:pPr>
    </w:p>
    <w:p w:rsidR="002842BC" w:rsidRDefault="002842BC" w:rsidP="00442D07">
      <w:pPr>
        <w:jc w:val="both"/>
        <w:rPr>
          <w:sz w:val="26"/>
          <w:szCs w:val="26"/>
        </w:rPr>
      </w:pPr>
    </w:p>
    <w:p w:rsidR="007A21A5" w:rsidRDefault="007A21A5" w:rsidP="00442D07">
      <w:pPr>
        <w:jc w:val="both"/>
        <w:rPr>
          <w:sz w:val="26"/>
          <w:szCs w:val="26"/>
        </w:rPr>
      </w:pPr>
    </w:p>
    <w:p w:rsidR="007A21A5" w:rsidRDefault="007A21A5" w:rsidP="00442D07">
      <w:pPr>
        <w:jc w:val="both"/>
        <w:rPr>
          <w:sz w:val="26"/>
          <w:szCs w:val="26"/>
        </w:rPr>
      </w:pPr>
    </w:p>
    <w:p w:rsidR="007A21A5" w:rsidRDefault="007A21A5" w:rsidP="00442D07">
      <w:pPr>
        <w:jc w:val="both"/>
        <w:rPr>
          <w:sz w:val="26"/>
          <w:szCs w:val="26"/>
        </w:rPr>
      </w:pPr>
    </w:p>
    <w:p w:rsidR="007A21A5" w:rsidRDefault="007A21A5" w:rsidP="00442D07">
      <w:pPr>
        <w:jc w:val="both"/>
        <w:rPr>
          <w:sz w:val="26"/>
          <w:szCs w:val="26"/>
        </w:rPr>
      </w:pPr>
    </w:p>
    <w:p w:rsidR="002842BC" w:rsidRDefault="002842BC" w:rsidP="00442D07">
      <w:pPr>
        <w:jc w:val="both"/>
        <w:rPr>
          <w:sz w:val="26"/>
          <w:szCs w:val="26"/>
        </w:rPr>
      </w:pPr>
    </w:p>
    <w:p w:rsidR="00577D6D" w:rsidRDefault="00577D6D" w:rsidP="00442D07">
      <w:pPr>
        <w:jc w:val="both"/>
        <w:rPr>
          <w:sz w:val="26"/>
          <w:szCs w:val="26"/>
        </w:rPr>
      </w:pPr>
    </w:p>
    <w:p w:rsidR="00442D07" w:rsidRPr="00FE0C4F" w:rsidRDefault="00442D07" w:rsidP="00442D07">
      <w:pPr>
        <w:jc w:val="both"/>
        <w:rPr>
          <w:sz w:val="26"/>
          <w:szCs w:val="26"/>
        </w:rPr>
      </w:pPr>
    </w:p>
    <w:p w:rsidR="00577D6D" w:rsidRDefault="00577D6D" w:rsidP="00577D6D">
      <w:pPr>
        <w:pStyle w:val="Paragraphedeliste"/>
        <w:widowControl w:val="0"/>
        <w:numPr>
          <w:ilvl w:val="0"/>
          <w:numId w:val="6"/>
        </w:numPr>
        <w:jc w:val="both"/>
        <w:rPr>
          <w:sz w:val="26"/>
          <w:szCs w:val="26"/>
        </w:rPr>
      </w:pPr>
      <w:r>
        <w:rPr>
          <w:sz w:val="26"/>
          <w:szCs w:val="26"/>
        </w:rPr>
        <w:t>À quel instrument de politique mon</w:t>
      </w:r>
      <w:r w:rsidR="000E4B45">
        <w:rPr>
          <w:sz w:val="26"/>
          <w:szCs w:val="26"/>
        </w:rPr>
        <w:t>étaire fait allusion la troisième</w:t>
      </w:r>
      <w:r>
        <w:rPr>
          <w:sz w:val="26"/>
          <w:szCs w:val="26"/>
        </w:rPr>
        <w:t xml:space="preserve"> phrase soulignée ? En quoi consiste-t-il et quels sont ses impacts ?  </w:t>
      </w:r>
      <w:r w:rsidRPr="00BB4F2A">
        <w:rPr>
          <w:sz w:val="26"/>
          <w:szCs w:val="26"/>
        </w:rPr>
        <w:t>Explique en détail</w:t>
      </w:r>
      <w:r>
        <w:rPr>
          <w:sz w:val="26"/>
          <w:szCs w:val="26"/>
        </w:rPr>
        <w:t>s.</w:t>
      </w:r>
    </w:p>
    <w:p w:rsidR="00442D07" w:rsidRPr="00BB4F2A" w:rsidRDefault="00442D07" w:rsidP="00442D07">
      <w:pPr>
        <w:jc w:val="both"/>
        <w:rPr>
          <w:sz w:val="26"/>
          <w:szCs w:val="26"/>
        </w:rPr>
      </w:pPr>
    </w:p>
    <w:p w:rsidR="00442D07" w:rsidRDefault="00442D07" w:rsidP="00442D07">
      <w:pPr>
        <w:jc w:val="both"/>
        <w:rPr>
          <w:sz w:val="26"/>
          <w:szCs w:val="26"/>
        </w:rPr>
      </w:pPr>
    </w:p>
    <w:p w:rsidR="00577D6D" w:rsidRDefault="00577D6D" w:rsidP="00442D07">
      <w:pPr>
        <w:jc w:val="both"/>
        <w:rPr>
          <w:sz w:val="26"/>
          <w:szCs w:val="26"/>
        </w:rPr>
      </w:pPr>
    </w:p>
    <w:p w:rsidR="00577D6D" w:rsidRDefault="00577D6D" w:rsidP="00442D07">
      <w:pPr>
        <w:jc w:val="both"/>
        <w:rPr>
          <w:sz w:val="26"/>
          <w:szCs w:val="26"/>
        </w:rPr>
      </w:pPr>
    </w:p>
    <w:p w:rsidR="00577D6D" w:rsidRDefault="00577D6D" w:rsidP="00442D07">
      <w:pPr>
        <w:jc w:val="both"/>
        <w:rPr>
          <w:sz w:val="26"/>
          <w:szCs w:val="26"/>
        </w:rPr>
      </w:pPr>
    </w:p>
    <w:p w:rsidR="00373291" w:rsidRDefault="00373291">
      <w:pPr>
        <w:ind w:firstLine="15"/>
      </w:pPr>
    </w:p>
    <w:p w:rsidR="00373291" w:rsidRDefault="00373291">
      <w:pPr>
        <w:ind w:firstLine="15"/>
      </w:pPr>
    </w:p>
    <w:p w:rsidR="00373291" w:rsidRDefault="00373291">
      <w:pPr>
        <w:ind w:firstLine="15"/>
      </w:pPr>
    </w:p>
    <w:p w:rsidR="002842BC" w:rsidRDefault="002842BC">
      <w:pPr>
        <w:ind w:firstLine="15"/>
      </w:pPr>
    </w:p>
    <w:p w:rsidR="002842BC" w:rsidRDefault="002842BC">
      <w:pPr>
        <w:ind w:firstLine="15"/>
      </w:pPr>
    </w:p>
    <w:p w:rsidR="002842BC" w:rsidRDefault="002842BC">
      <w:pPr>
        <w:ind w:firstLine="15"/>
      </w:pPr>
    </w:p>
    <w:p w:rsidR="002842BC" w:rsidRDefault="002842BC">
      <w:pPr>
        <w:ind w:firstLine="15"/>
      </w:pPr>
    </w:p>
    <w:p w:rsidR="002842BC" w:rsidRDefault="002842BC">
      <w:pPr>
        <w:ind w:firstLine="15"/>
      </w:pPr>
    </w:p>
    <w:p w:rsidR="002842BC" w:rsidRDefault="002842BC">
      <w:pPr>
        <w:ind w:firstLine="15"/>
      </w:pPr>
    </w:p>
    <w:p w:rsidR="00373291" w:rsidRDefault="00373291">
      <w:pPr>
        <w:ind w:firstLine="15"/>
      </w:pPr>
    </w:p>
    <w:p w:rsidR="00442D07" w:rsidRPr="00442D07" w:rsidRDefault="00442D07" w:rsidP="00442D07">
      <w:pPr>
        <w:pStyle w:val="Titre4"/>
      </w:pPr>
      <w:r w:rsidRPr="00442D07">
        <w:t xml:space="preserve">BCE : priorité à la relance de l'inflation, annonce </w:t>
      </w:r>
      <w:proofErr w:type="spellStart"/>
      <w:r w:rsidRPr="00442D07">
        <w:t>Draghi</w:t>
      </w:r>
      <w:proofErr w:type="spellEnd"/>
    </w:p>
    <w:p w:rsidR="00442D07" w:rsidRPr="00442D07" w:rsidRDefault="00F57CC7" w:rsidP="00442D07">
      <w:pPr>
        <w:widowControl w:val="0"/>
        <w:rPr>
          <w:rFonts w:eastAsia="Lucida Sans Unicode"/>
          <w:lang w:val="fr-FR" w:eastAsia="fr-BE"/>
        </w:rPr>
      </w:pPr>
      <w:hyperlink r:id="rId10" w:tooltip="Tous les articles de Jean-Philippe Lacour" w:history="1">
        <w:r w:rsidR="00442D07" w:rsidRPr="00442D07">
          <w:rPr>
            <w:rFonts w:eastAsia="Lucida Sans Unicode"/>
            <w:color w:val="000080"/>
            <w:u w:val="single"/>
            <w:lang w:val="fr-FR" w:eastAsia="fr-BE"/>
          </w:rPr>
          <w:t>Jean-Philippe Lacour</w:t>
        </w:r>
      </w:hyperlink>
      <w:r w:rsidR="00442D07" w:rsidRPr="00442D07">
        <w:rPr>
          <w:rFonts w:eastAsia="Lucida Sans Unicode"/>
          <w:lang w:val="fr-FR" w:eastAsia="fr-BE"/>
        </w:rPr>
        <w:t xml:space="preserve"> / Correspondant à Francfort | Le 21/11 à 10:04, mis à jour à 14:55 </w:t>
      </w:r>
    </w:p>
    <w:p w:rsidR="00442D07" w:rsidRPr="00442D07" w:rsidRDefault="00442D07" w:rsidP="00442D07">
      <w:pPr>
        <w:suppressAutoHyphens w:val="0"/>
        <w:spacing w:before="100" w:beforeAutospacing="1" w:after="100" w:afterAutospacing="1"/>
        <w:ind w:right="-12240"/>
        <w:rPr>
          <w:rFonts w:eastAsia="Lucida Sans Unicode"/>
          <w:lang w:val="fr-FR" w:eastAsia="fr-BE"/>
        </w:rPr>
      </w:pPr>
    </w:p>
    <w:p w:rsidR="00442D07" w:rsidRPr="00442D07" w:rsidRDefault="00442D07" w:rsidP="00442D07">
      <w:pPr>
        <w:keepNext/>
        <w:keepLines/>
        <w:widowControl w:val="0"/>
        <w:numPr>
          <w:ilvl w:val="0"/>
          <w:numId w:val="1"/>
        </w:numPr>
        <w:tabs>
          <w:tab w:val="clear" w:pos="432"/>
          <w:tab w:val="num" w:pos="0"/>
        </w:tabs>
        <w:spacing w:before="200"/>
        <w:ind w:left="0" w:firstLine="0"/>
        <w:jc w:val="both"/>
        <w:outlineLvl w:val="1"/>
        <w:rPr>
          <w:rFonts w:asciiTheme="majorHAnsi" w:eastAsiaTheme="majorEastAsia" w:hAnsiTheme="majorHAnsi" w:cstheme="majorBidi"/>
          <w:b/>
          <w:bCs/>
          <w:sz w:val="26"/>
          <w:szCs w:val="26"/>
          <w:lang w:val="fr-FR" w:eastAsia="fr-BE"/>
        </w:rPr>
      </w:pPr>
      <w:r w:rsidRPr="00442D07">
        <w:rPr>
          <w:rFonts w:asciiTheme="majorHAnsi" w:eastAsiaTheme="majorEastAsia" w:hAnsiTheme="majorHAnsi" w:cstheme="majorBidi"/>
          <w:b/>
          <w:bCs/>
          <w:sz w:val="26"/>
          <w:szCs w:val="26"/>
          <w:lang w:val="fr-FR" w:eastAsia="fr-BE"/>
        </w:rPr>
        <w:t>Le président de la BCE a défendu la politique monétaire menée dans un contexte de faible croissance et d’inflation au plus bas dans la zone euro. Rappelant, lors d’un congrès à Francfort, que la BCE est prête si besoin à intensifier ses interventions au-delà des outils qu’elle commence à mettre en place.</w:t>
      </w:r>
    </w:p>
    <w:p w:rsidR="00442D07" w:rsidRPr="00442D07" w:rsidRDefault="00442D07" w:rsidP="00442D07">
      <w:pPr>
        <w:widowControl w:val="0"/>
        <w:spacing w:before="100" w:after="100"/>
        <w:jc w:val="both"/>
        <w:rPr>
          <w:rFonts w:eastAsia="Arial Unicode MS"/>
          <w:lang w:val="fr-FR" w:eastAsia="fr-BE"/>
        </w:rPr>
      </w:pPr>
      <w:r w:rsidRPr="00442D07">
        <w:rPr>
          <w:rFonts w:eastAsia="Arial Unicode MS"/>
          <w:lang w:val="fr-FR" w:eastAsia="fr-BE"/>
        </w:rPr>
        <w:t xml:space="preserve">Mario </w:t>
      </w:r>
      <w:proofErr w:type="spellStart"/>
      <w:r w:rsidRPr="00442D07">
        <w:rPr>
          <w:rFonts w:eastAsia="Arial Unicode MS"/>
          <w:lang w:val="fr-FR" w:eastAsia="fr-BE"/>
        </w:rPr>
        <w:t>Draghi</w:t>
      </w:r>
      <w:proofErr w:type="spellEnd"/>
      <w:r w:rsidRPr="00442D07">
        <w:rPr>
          <w:rFonts w:eastAsia="Arial Unicode MS"/>
          <w:lang w:val="fr-FR" w:eastAsia="fr-BE"/>
        </w:rPr>
        <w:t>, président de la Banque centrale européenne (BCE), a défendu ce vendredi le cours actuel de la politique monétaire destiné à combattre une inflation trop faible sur la durée. Le cap a été mis sur le gonflement de la taille du bilan des banques centrales de l’</w:t>
      </w:r>
      <w:proofErr w:type="spellStart"/>
      <w:r w:rsidRPr="00442D07">
        <w:rPr>
          <w:rFonts w:eastAsia="Arial Unicode MS"/>
          <w:lang w:val="fr-FR" w:eastAsia="fr-BE"/>
        </w:rPr>
        <w:t>Eurosystème</w:t>
      </w:r>
      <w:proofErr w:type="spellEnd"/>
      <w:r w:rsidRPr="00442D07">
        <w:rPr>
          <w:rFonts w:eastAsia="Arial Unicode MS"/>
          <w:lang w:val="fr-FR" w:eastAsia="fr-BE"/>
        </w:rPr>
        <w:t>, comme nouvel étalon en vue de parvenir aux objectifs de stabilité financière. «</w:t>
      </w:r>
      <w:r w:rsidRPr="00442D07">
        <w:rPr>
          <w:rFonts w:eastAsia="Arial Unicode MS"/>
          <w:u w:val="single"/>
          <w:lang w:val="fr-FR" w:eastAsia="fr-BE"/>
        </w:rPr>
        <w:t>Notre réponse a été certainement non conventionnelle</w:t>
      </w:r>
      <w:r w:rsidRPr="00442D07">
        <w:rPr>
          <w:rFonts w:eastAsia="Arial Unicode MS"/>
          <w:sz w:val="32"/>
          <w:szCs w:val="32"/>
          <w:u w:val="single"/>
          <w:vertAlign w:val="superscript"/>
          <w:lang w:val="fr-FR" w:eastAsia="fr-BE"/>
        </w:rPr>
        <w:t>1</w:t>
      </w:r>
      <w:r w:rsidRPr="00442D07">
        <w:rPr>
          <w:rFonts w:eastAsia="Arial Unicode MS"/>
          <w:lang w:val="fr-FR" w:eastAsia="fr-BE"/>
        </w:rPr>
        <w:t xml:space="preserve">, dans le sens que nos mesures sont sans précédent - mais c’est loin d’être non orthodoxe», </w:t>
      </w:r>
      <w:proofErr w:type="spellStart"/>
      <w:r w:rsidRPr="00442D07">
        <w:rPr>
          <w:rFonts w:eastAsia="Arial Unicode MS"/>
          <w:lang w:val="fr-FR" w:eastAsia="fr-BE"/>
        </w:rPr>
        <w:t>a-t-il</w:t>
      </w:r>
      <w:proofErr w:type="spellEnd"/>
      <w:r w:rsidRPr="00442D07">
        <w:rPr>
          <w:rFonts w:eastAsia="Arial Unicode MS"/>
          <w:lang w:val="fr-FR" w:eastAsia="fr-BE"/>
        </w:rPr>
        <w:t xml:space="preserve"> déclaré lors d’un congrès européen des banques à Francfort. Une pique à la très orthodoxe Bundesbank qui fait état de ses réserves, via son président Jens </w:t>
      </w:r>
      <w:proofErr w:type="spellStart"/>
      <w:r w:rsidRPr="00442D07">
        <w:rPr>
          <w:rFonts w:eastAsia="Arial Unicode MS"/>
          <w:lang w:val="fr-FR" w:eastAsia="fr-BE"/>
        </w:rPr>
        <w:t>Weidmann</w:t>
      </w:r>
      <w:proofErr w:type="spellEnd"/>
      <w:r w:rsidRPr="00442D07">
        <w:rPr>
          <w:rFonts w:eastAsia="Arial Unicode MS"/>
          <w:lang w:val="fr-FR" w:eastAsia="fr-BE"/>
        </w:rPr>
        <w:t>, sur les risques pris par la BCE face aux décisions de politique monétaire, qui la conduit à prendre de nouveaux risques tout en décourageant les Etats de faire leurs devoirs de réformes fiscales et structurelles.</w:t>
      </w:r>
    </w:p>
    <w:p w:rsidR="00442D07" w:rsidRPr="00442D07" w:rsidRDefault="00442D07" w:rsidP="00442D07">
      <w:pPr>
        <w:widowControl w:val="0"/>
        <w:spacing w:before="100" w:after="100"/>
        <w:jc w:val="both"/>
        <w:rPr>
          <w:rFonts w:eastAsia="Arial Unicode MS"/>
          <w:lang w:val="fr-FR" w:eastAsia="fr-BE"/>
        </w:rPr>
      </w:pPr>
      <w:r w:rsidRPr="00442D07">
        <w:rPr>
          <w:rFonts w:eastAsia="Arial Unicode MS"/>
          <w:lang w:val="fr-FR" w:eastAsia="fr-BE"/>
        </w:rPr>
        <w:t xml:space="preserve">En septembre dernier, la BCE a opéré un «changement significatif», a souligné le banquier italien, en portant son principal taux d’intérêt directeur (= …………………………………) à son niveau le plus bas possible (0,05%), alors que celui sur </w:t>
      </w:r>
      <w:r w:rsidR="0058313D">
        <w:rPr>
          <w:rFonts w:eastAsia="Arial Unicode MS"/>
          <w:u w:val="single"/>
          <w:lang w:val="fr-FR" w:eastAsia="fr-BE"/>
        </w:rPr>
        <w:t>les …………………… des dépôts</w:t>
      </w:r>
      <w:r w:rsidRPr="00442D07">
        <w:rPr>
          <w:rFonts w:eastAsia="Arial Unicode MS"/>
          <w:u w:val="single"/>
          <w:lang w:val="fr-FR" w:eastAsia="fr-BE"/>
        </w:rPr>
        <w:t xml:space="preserve"> à ses guichets était porté un peu plus en territoire négatif (-0,20%)</w:t>
      </w:r>
      <w:r w:rsidRPr="00442D07">
        <w:rPr>
          <w:rFonts w:eastAsia="Arial Unicode MS"/>
          <w:lang w:val="fr-FR" w:eastAsia="fr-BE"/>
        </w:rPr>
        <w:t xml:space="preserve">. Parallèlement, l’institut d’émission décidait en dernier recours de conduire des rachats d’actifs à grande échelle. Ces décisions ont été prises dans un contexte de situation économique restant dans l’ensemble difficile en zone euro. La confiance dans les perspectives économiques est fragile et peut être facilement perturbée, alimentant la faiblesse des investissements, a souligné Mario </w:t>
      </w:r>
      <w:proofErr w:type="spellStart"/>
      <w:r w:rsidRPr="00442D07">
        <w:rPr>
          <w:rFonts w:eastAsia="Arial Unicode MS"/>
          <w:lang w:val="fr-FR" w:eastAsia="fr-BE"/>
        </w:rPr>
        <w:t>Draghi</w:t>
      </w:r>
      <w:proofErr w:type="spellEnd"/>
      <w:r w:rsidRPr="00442D07">
        <w:rPr>
          <w:rFonts w:eastAsia="Arial Unicode MS"/>
          <w:lang w:val="fr-FR" w:eastAsia="fr-BE"/>
        </w:rPr>
        <w:t>.</w:t>
      </w:r>
    </w:p>
    <w:p w:rsidR="00442D07" w:rsidRPr="00442D07" w:rsidRDefault="00442D07" w:rsidP="00442D07">
      <w:pPr>
        <w:widowControl w:val="0"/>
        <w:spacing w:before="100" w:after="100"/>
        <w:jc w:val="both"/>
        <w:rPr>
          <w:rFonts w:eastAsia="Arial Unicode MS"/>
          <w:lang w:val="fr-FR" w:eastAsia="fr-BE"/>
        </w:rPr>
      </w:pPr>
      <w:r w:rsidRPr="00442D07">
        <w:rPr>
          <w:rFonts w:eastAsia="Arial Unicode MS"/>
          <w:lang w:val="fr-FR" w:eastAsia="fr-BE"/>
        </w:rPr>
        <w:t xml:space="preserve">Alors que l’inflation atteint des niveaux proches de zéro depuis des mois en zone euro, le défi </w:t>
      </w:r>
      <w:r w:rsidRPr="00442D07">
        <w:rPr>
          <w:rFonts w:eastAsia="Arial Unicode MS"/>
          <w:lang w:val="fr-FR" w:eastAsia="fr-BE"/>
        </w:rPr>
        <w:lastRenderedPageBreak/>
        <w:t xml:space="preserve">à relever est de maintenir les attentes d’inflation sur le moyen terme au niveau proche mais inférieur de 2%, ce qui est le mandat à remplir par la BCE. Mario </w:t>
      </w:r>
      <w:proofErr w:type="spellStart"/>
      <w:r w:rsidRPr="00442D07">
        <w:rPr>
          <w:rFonts w:eastAsia="Arial Unicode MS"/>
          <w:lang w:val="fr-FR" w:eastAsia="fr-BE"/>
        </w:rPr>
        <w:t>Draghi</w:t>
      </w:r>
      <w:proofErr w:type="spellEnd"/>
      <w:r w:rsidRPr="00442D07">
        <w:rPr>
          <w:rFonts w:eastAsia="Arial Unicode MS"/>
          <w:lang w:val="fr-FR" w:eastAsia="fr-BE"/>
        </w:rPr>
        <w:t xml:space="preserve"> a souligné le risque d’une période trop prolongée de faible inflation qui devienne intégrée dans les anticipations d’inflation. Or, «l’ancrage solide [de ces anticipations] est critique en toutes circonstances», </w:t>
      </w:r>
      <w:proofErr w:type="spellStart"/>
      <w:r w:rsidRPr="00442D07">
        <w:rPr>
          <w:rFonts w:eastAsia="Arial Unicode MS"/>
          <w:lang w:val="fr-FR" w:eastAsia="fr-BE"/>
        </w:rPr>
        <w:t>a-t-il</w:t>
      </w:r>
      <w:proofErr w:type="spellEnd"/>
      <w:r w:rsidRPr="00442D07">
        <w:rPr>
          <w:rFonts w:eastAsia="Arial Unicode MS"/>
          <w:lang w:val="fr-FR" w:eastAsia="fr-BE"/>
        </w:rPr>
        <w:t xml:space="preserve"> souligné. </w:t>
      </w:r>
    </w:p>
    <w:p w:rsidR="00442D07" w:rsidRPr="00442D07" w:rsidRDefault="00442D07" w:rsidP="00442D07">
      <w:pPr>
        <w:keepNext/>
        <w:keepLines/>
        <w:widowControl w:val="0"/>
        <w:numPr>
          <w:ilvl w:val="0"/>
          <w:numId w:val="1"/>
        </w:numPr>
        <w:tabs>
          <w:tab w:val="clear" w:pos="432"/>
          <w:tab w:val="num" w:pos="0"/>
        </w:tabs>
        <w:spacing w:before="200"/>
        <w:ind w:left="0" w:firstLine="0"/>
        <w:jc w:val="both"/>
        <w:outlineLvl w:val="1"/>
        <w:rPr>
          <w:rFonts w:eastAsiaTheme="majorEastAsia"/>
          <w:b/>
          <w:bCs/>
          <w:sz w:val="26"/>
          <w:szCs w:val="26"/>
          <w:lang w:val="fr-FR" w:eastAsia="fr-BE"/>
        </w:rPr>
      </w:pPr>
      <w:r w:rsidRPr="00442D07">
        <w:rPr>
          <w:rFonts w:eastAsiaTheme="majorEastAsia"/>
          <w:b/>
          <w:bCs/>
          <w:sz w:val="26"/>
          <w:szCs w:val="26"/>
          <w:lang w:val="fr-FR" w:eastAsia="fr-BE"/>
        </w:rPr>
        <w:t>Intensifier la pression si nécessaire</w:t>
      </w:r>
    </w:p>
    <w:p w:rsidR="00442D07" w:rsidRPr="00442D07" w:rsidRDefault="00F57CC7" w:rsidP="00442D07">
      <w:pPr>
        <w:widowControl w:val="0"/>
        <w:spacing w:before="100" w:after="100"/>
        <w:jc w:val="both"/>
        <w:rPr>
          <w:rFonts w:eastAsia="Arial Unicode MS"/>
          <w:lang w:val="fr-FR" w:eastAsia="fr-BE"/>
        </w:rPr>
      </w:pPr>
      <w:hyperlink r:id="rId11" w:history="1">
        <w:r w:rsidR="00442D07" w:rsidRPr="00442D07">
          <w:rPr>
            <w:rFonts w:eastAsia="Arial Unicode MS"/>
            <w:lang w:val="fr-FR" w:eastAsia="fr-BE"/>
          </w:rPr>
          <w:t>Le conseil des gouverneurs de la BCE est apparu divisé ces derniers mois</w:t>
        </w:r>
      </w:hyperlink>
      <w:r w:rsidR="00442D07" w:rsidRPr="00442D07">
        <w:rPr>
          <w:rFonts w:eastAsia="Arial Unicode MS"/>
          <w:lang w:val="fr-FR" w:eastAsia="fr-BE"/>
        </w:rPr>
        <w:t xml:space="preserve"> sur la nature et le timing à donner aux réponses face à la donne en termes d’inflation. Mais début novembre, l’instance de décision de la politique monétaire en zone euro s’est rangée à l’unanimité derrière la volonté de porter la taille du bilan des banques centrales de l’</w:t>
      </w:r>
      <w:proofErr w:type="spellStart"/>
      <w:r w:rsidR="00442D07" w:rsidRPr="00442D07">
        <w:rPr>
          <w:rFonts w:eastAsia="Arial Unicode MS"/>
          <w:lang w:val="fr-FR" w:eastAsia="fr-BE"/>
        </w:rPr>
        <w:t>Eurosystème</w:t>
      </w:r>
      <w:proofErr w:type="spellEnd"/>
      <w:r w:rsidR="00442D07" w:rsidRPr="00442D07">
        <w:rPr>
          <w:rFonts w:eastAsia="Arial Unicode MS"/>
          <w:lang w:val="fr-FR" w:eastAsia="fr-BE"/>
        </w:rPr>
        <w:t xml:space="preserve"> vers les niveaux observés au début de 2012. C’est-à-dire de le porter à 3.000 milliards d’euros, contre 2.000 milliards actuellement. </w:t>
      </w:r>
    </w:p>
    <w:p w:rsidR="00442D07" w:rsidRPr="00442D07" w:rsidRDefault="00442D07" w:rsidP="00442D07">
      <w:pPr>
        <w:widowControl w:val="0"/>
        <w:spacing w:before="100" w:after="100"/>
        <w:jc w:val="both"/>
        <w:rPr>
          <w:rFonts w:eastAsia="Arial Unicode MS"/>
          <w:lang w:val="fr-FR" w:eastAsia="fr-BE"/>
        </w:rPr>
      </w:pPr>
      <w:r w:rsidRPr="00442D07">
        <w:rPr>
          <w:rFonts w:eastAsia="Arial Unicode MS"/>
          <w:lang w:val="fr-FR" w:eastAsia="fr-BE"/>
        </w:rPr>
        <w:t xml:space="preserve">Pour ce faire, la BCE a annoncé avoir commencé à acheter sur le marché des paquets de crédits </w:t>
      </w:r>
      <w:proofErr w:type="spellStart"/>
      <w:r w:rsidRPr="00442D07">
        <w:rPr>
          <w:rFonts w:eastAsia="Arial Unicode MS"/>
          <w:lang w:val="fr-FR" w:eastAsia="fr-BE"/>
        </w:rPr>
        <w:t>titrisés</w:t>
      </w:r>
      <w:proofErr w:type="spellEnd"/>
      <w:r w:rsidRPr="00442D07">
        <w:rPr>
          <w:rFonts w:eastAsia="Arial Unicode MS"/>
          <w:lang w:val="fr-FR" w:eastAsia="fr-BE"/>
        </w:rPr>
        <w:t>, les fameux ABS, en plus d’achats d’obligations sécurisées (</w:t>
      </w:r>
      <w:proofErr w:type="spellStart"/>
      <w:r w:rsidRPr="00442D07">
        <w:rPr>
          <w:rFonts w:eastAsia="Arial Unicode MS"/>
          <w:lang w:val="fr-FR" w:eastAsia="fr-BE"/>
        </w:rPr>
        <w:t>covered</w:t>
      </w:r>
      <w:proofErr w:type="spellEnd"/>
      <w:r w:rsidRPr="00442D07">
        <w:rPr>
          <w:rFonts w:eastAsia="Arial Unicode MS"/>
          <w:lang w:val="fr-FR" w:eastAsia="fr-BE"/>
        </w:rPr>
        <w:t xml:space="preserve"> bonds). Le but est de parvenir à une échelle d’intervention qui permette d’atteindre les effets escomptés en termes de signaux envoyés à l’économie. La BCE attend aussi un important glissement en </w:t>
      </w:r>
      <w:proofErr w:type="gramStart"/>
      <w:r w:rsidRPr="00442D07">
        <w:rPr>
          <w:rFonts w:eastAsia="Arial Unicode MS"/>
          <w:lang w:val="fr-FR" w:eastAsia="fr-BE"/>
        </w:rPr>
        <w:t>terme d’allocations</w:t>
      </w:r>
      <w:proofErr w:type="gramEnd"/>
      <w:r w:rsidRPr="00442D07">
        <w:rPr>
          <w:rFonts w:eastAsia="Arial Unicode MS"/>
          <w:lang w:val="fr-FR" w:eastAsia="fr-BE"/>
        </w:rPr>
        <w:t xml:space="preserve"> d’actifs dans les portefeuilles des investisseurs. «Comme nous allons acheter des actifs, les investisseurs vont probablement substituer aux actifs à faible risque que nous leur achetons d’autres actifs plus risqués orientés sur le long terme, des actions et si possible de l’immobilier», a expliqué Mario </w:t>
      </w:r>
      <w:proofErr w:type="spellStart"/>
      <w:r w:rsidRPr="00442D07">
        <w:rPr>
          <w:rFonts w:eastAsia="Arial Unicode MS"/>
          <w:lang w:val="fr-FR" w:eastAsia="fr-BE"/>
        </w:rPr>
        <w:t>Draghi</w:t>
      </w:r>
      <w:proofErr w:type="spellEnd"/>
      <w:r w:rsidRPr="00442D07">
        <w:rPr>
          <w:rFonts w:eastAsia="Arial Unicode MS"/>
          <w:lang w:val="fr-FR" w:eastAsia="fr-BE"/>
        </w:rPr>
        <w:t xml:space="preserve">. Parallèlement à des rachats d’actifs, la BCE va allouer des liquidités aux banques sur une longue durée, pourvu qu’elles transforment les liquidités reçues en suffisamment de ………………………….. </w:t>
      </w:r>
      <w:proofErr w:type="gramStart"/>
      <w:r w:rsidRPr="00442D07">
        <w:rPr>
          <w:rFonts w:eastAsia="Arial Unicode MS"/>
          <w:lang w:val="fr-FR" w:eastAsia="fr-BE"/>
        </w:rPr>
        <w:t>aux</w:t>
      </w:r>
      <w:proofErr w:type="gramEnd"/>
      <w:r w:rsidRPr="00442D07">
        <w:rPr>
          <w:rFonts w:eastAsia="Arial Unicode MS"/>
          <w:lang w:val="fr-FR" w:eastAsia="fr-BE"/>
        </w:rPr>
        <w:t xml:space="preserve"> entreprises et ménages. </w:t>
      </w:r>
    </w:p>
    <w:p w:rsidR="00442D07" w:rsidRPr="00442D07" w:rsidRDefault="00442D07" w:rsidP="00442D07">
      <w:pPr>
        <w:suppressAutoHyphens w:val="0"/>
        <w:spacing w:before="100" w:beforeAutospacing="1" w:after="100" w:afterAutospacing="1"/>
        <w:jc w:val="both"/>
        <w:rPr>
          <w:szCs w:val="24"/>
          <w:lang w:eastAsia="fr-BE"/>
        </w:rPr>
      </w:pPr>
      <w:r w:rsidRPr="00442D07">
        <w:rPr>
          <w:szCs w:val="24"/>
          <w:lang w:eastAsia="fr-BE"/>
        </w:rPr>
        <w:t xml:space="preserve">Si cela ne suffisait pas à …………………… l’économie et donner un coup de …………….. </w:t>
      </w:r>
      <w:proofErr w:type="gramStart"/>
      <w:r w:rsidRPr="00442D07">
        <w:rPr>
          <w:szCs w:val="24"/>
          <w:lang w:eastAsia="fr-BE"/>
        </w:rPr>
        <w:t>à</w:t>
      </w:r>
      <w:proofErr w:type="gramEnd"/>
      <w:r w:rsidRPr="00442D07">
        <w:rPr>
          <w:szCs w:val="24"/>
          <w:lang w:eastAsia="fr-BE"/>
        </w:rPr>
        <w:t xml:space="preserve"> l’inflation, la BCE continuera d’assumer sa responsabilité : «Nous allons faire ce que nous devons faire pour ………………………….. </w:t>
      </w:r>
      <w:proofErr w:type="gramStart"/>
      <w:r w:rsidRPr="00442D07">
        <w:rPr>
          <w:szCs w:val="24"/>
          <w:lang w:eastAsia="fr-BE"/>
        </w:rPr>
        <w:t>l’inflation</w:t>
      </w:r>
      <w:proofErr w:type="gramEnd"/>
      <w:r w:rsidRPr="00442D07">
        <w:rPr>
          <w:szCs w:val="24"/>
          <w:lang w:eastAsia="fr-BE"/>
        </w:rPr>
        <w:t xml:space="preserve"> et les anticipations d’inflation le plus rapidement possible, comme notre mandat de stabilité des prix exige de nous. Si la trajectoire actuelle de notre politique n’est pas assez efficace pour atteindre cet objectif, ou d’autres risques pour les perspectives d’inflation se concrétisent, </w:t>
      </w:r>
      <w:r w:rsidR="002B3F1A">
        <w:rPr>
          <w:szCs w:val="24"/>
          <w:u w:val="single"/>
          <w:lang w:eastAsia="fr-BE"/>
        </w:rPr>
        <w:t>nous devrons</w:t>
      </w:r>
      <w:r w:rsidRPr="00442D07">
        <w:rPr>
          <w:szCs w:val="24"/>
          <w:u w:val="single"/>
          <w:lang w:eastAsia="fr-BE"/>
        </w:rPr>
        <w:t xml:space="preserve"> intensifier la pression et élargir encore plus les voies à travers lesquelles nous intervenons, en modifiant en conséquence la taille, le rythme et la composition de nos achats»</w:t>
      </w:r>
      <w:r w:rsidRPr="00442D07">
        <w:rPr>
          <w:sz w:val="32"/>
          <w:szCs w:val="32"/>
          <w:vertAlign w:val="superscript"/>
          <w:lang w:eastAsia="fr-BE"/>
        </w:rPr>
        <w:t>3</w:t>
      </w:r>
      <w:r w:rsidRPr="00442D07">
        <w:rPr>
          <w:szCs w:val="24"/>
          <w:lang w:eastAsia="fr-BE"/>
        </w:rPr>
        <w:t xml:space="preserve">, a conclu Mario </w:t>
      </w:r>
      <w:proofErr w:type="spellStart"/>
      <w:r w:rsidRPr="00442D07">
        <w:rPr>
          <w:szCs w:val="24"/>
          <w:lang w:eastAsia="fr-BE"/>
        </w:rPr>
        <w:t>Draghi</w:t>
      </w:r>
      <w:proofErr w:type="spellEnd"/>
      <w:r w:rsidRPr="00442D07">
        <w:rPr>
          <w:szCs w:val="24"/>
          <w:lang w:eastAsia="fr-BE"/>
        </w:rPr>
        <w:t xml:space="preserve">. La BCE a déjà mandaté un groupe de travail pour l’aider à préparer de nouvelles interventions qui pourraient prendre la forme d’achats sur les marchés d’autres catégories d’actifs, tels que </w:t>
      </w:r>
      <w:hyperlink r:id="rId12" w:history="1">
        <w:r w:rsidRPr="00442D07">
          <w:rPr>
            <w:szCs w:val="24"/>
            <w:lang w:eastAsia="fr-BE"/>
          </w:rPr>
          <w:t>les obligations souveraines</w:t>
        </w:r>
      </w:hyperlink>
      <w:r w:rsidRPr="00442D07">
        <w:rPr>
          <w:szCs w:val="24"/>
          <w:lang w:eastAsia="fr-BE"/>
        </w:rPr>
        <w:t xml:space="preserve"> .</w:t>
      </w:r>
    </w:p>
    <w:p w:rsidR="0055582F" w:rsidRDefault="0055582F" w:rsidP="002842BC">
      <w:pPr>
        <w:suppressAutoHyphens w:val="0"/>
      </w:pPr>
    </w:p>
    <w:p w:rsidR="002842BC" w:rsidRDefault="002842BC" w:rsidP="002842BC">
      <w:pPr>
        <w:suppressAutoHyphens w:val="0"/>
      </w:pPr>
    </w:p>
    <w:p w:rsidR="002842BC" w:rsidRDefault="002842BC" w:rsidP="002842BC">
      <w:pPr>
        <w:suppressAutoHyphens w:val="0"/>
      </w:pPr>
    </w:p>
    <w:p w:rsidR="002842BC" w:rsidRDefault="002842BC" w:rsidP="002842BC">
      <w:pPr>
        <w:suppressAutoHyphens w:val="0"/>
      </w:pPr>
    </w:p>
    <w:p w:rsidR="002842BC" w:rsidRDefault="002842BC" w:rsidP="002842BC">
      <w:pPr>
        <w:suppressAutoHyphens w:val="0"/>
      </w:pPr>
    </w:p>
    <w:p w:rsidR="002842BC" w:rsidRDefault="002842BC" w:rsidP="002842BC">
      <w:pPr>
        <w:suppressAutoHyphens w:val="0"/>
      </w:pPr>
    </w:p>
    <w:p w:rsidR="002842BC" w:rsidRDefault="002842BC" w:rsidP="002842BC">
      <w:pPr>
        <w:suppressAutoHyphens w:val="0"/>
      </w:pPr>
    </w:p>
    <w:p w:rsidR="002842BC" w:rsidRDefault="002842BC" w:rsidP="002842BC">
      <w:pPr>
        <w:suppressAutoHyphens w:val="0"/>
      </w:pPr>
    </w:p>
    <w:p w:rsidR="002842BC" w:rsidRDefault="002842BC" w:rsidP="002842BC">
      <w:pPr>
        <w:suppressAutoHyphens w:val="0"/>
      </w:pPr>
    </w:p>
    <w:p w:rsidR="002842BC" w:rsidRDefault="002842BC" w:rsidP="002842BC">
      <w:pPr>
        <w:suppressAutoHyphens w:val="0"/>
      </w:pPr>
    </w:p>
    <w:p w:rsidR="007A21A5" w:rsidRDefault="007A21A5" w:rsidP="002842BC">
      <w:pPr>
        <w:suppressAutoHyphens w:val="0"/>
      </w:pPr>
    </w:p>
    <w:p w:rsidR="0055582F" w:rsidRPr="00A1587A" w:rsidRDefault="0055582F" w:rsidP="0055582F">
      <w:pPr>
        <w:ind w:firstLine="15"/>
        <w:rPr>
          <w:u w:val="single"/>
        </w:rPr>
      </w:pPr>
    </w:p>
    <w:p w:rsidR="0055582F" w:rsidRPr="00A1587A" w:rsidRDefault="00140C5D" w:rsidP="0055582F">
      <w:pPr>
        <w:rPr>
          <w:b/>
          <w:bCs/>
          <w:u w:val="single"/>
        </w:rPr>
      </w:pPr>
      <w:r>
        <w:rPr>
          <w:b/>
          <w:bCs/>
          <w:u w:val="single"/>
        </w:rPr>
        <w:lastRenderedPageBreak/>
        <w:t>Question 2</w:t>
      </w:r>
      <w:r w:rsidR="0055582F" w:rsidRPr="00A1587A">
        <w:rPr>
          <w:b/>
          <w:bCs/>
          <w:u w:val="single"/>
        </w:rPr>
        <w:t xml:space="preserve"> </w:t>
      </w:r>
      <w:r w:rsidR="0055582F" w:rsidRPr="00A1587A">
        <w:rPr>
          <w:b/>
          <w:bCs/>
          <w:u w:val="single"/>
        </w:rPr>
        <w:tab/>
      </w:r>
      <w:r w:rsidR="0055582F" w:rsidRPr="00A1587A">
        <w:rPr>
          <w:b/>
          <w:bCs/>
          <w:u w:val="single"/>
        </w:rPr>
        <w:tab/>
      </w:r>
      <w:r w:rsidR="0055582F" w:rsidRPr="00A1587A">
        <w:rPr>
          <w:b/>
          <w:bCs/>
          <w:u w:val="single"/>
        </w:rPr>
        <w:tab/>
      </w:r>
      <w:r w:rsidR="0055582F" w:rsidRPr="00A1587A">
        <w:rPr>
          <w:b/>
          <w:bCs/>
          <w:u w:val="single"/>
        </w:rPr>
        <w:tab/>
      </w:r>
      <w:r w:rsidR="0055582F" w:rsidRPr="00A1587A">
        <w:rPr>
          <w:b/>
          <w:bCs/>
          <w:u w:val="single"/>
        </w:rPr>
        <w:tab/>
      </w:r>
      <w:r w:rsidR="0055582F" w:rsidRPr="00A1587A">
        <w:rPr>
          <w:b/>
          <w:bCs/>
          <w:u w:val="single"/>
        </w:rPr>
        <w:tab/>
      </w:r>
      <w:r w:rsidR="0055582F" w:rsidRPr="00A1587A">
        <w:rPr>
          <w:b/>
          <w:bCs/>
          <w:u w:val="single"/>
        </w:rPr>
        <w:tab/>
      </w:r>
      <w:r w:rsidR="0055582F" w:rsidRPr="00A1587A">
        <w:rPr>
          <w:b/>
          <w:bCs/>
          <w:u w:val="single"/>
        </w:rPr>
        <w:tab/>
      </w:r>
      <w:r w:rsidR="0055582F" w:rsidRPr="00A1587A">
        <w:rPr>
          <w:b/>
          <w:bCs/>
          <w:u w:val="single"/>
        </w:rPr>
        <w:tab/>
      </w:r>
      <w:r w:rsidR="0055582F" w:rsidRPr="00A1587A">
        <w:rPr>
          <w:b/>
          <w:bCs/>
          <w:u w:val="single"/>
        </w:rPr>
        <w:tab/>
      </w:r>
      <w:r w:rsidR="0055582F" w:rsidRPr="00A1587A">
        <w:rPr>
          <w:b/>
          <w:bCs/>
          <w:u w:val="single"/>
        </w:rPr>
        <w:tab/>
      </w:r>
      <w:r w:rsidR="002842BC">
        <w:rPr>
          <w:b/>
          <w:bCs/>
          <w:u w:val="single"/>
        </w:rPr>
        <w:t>/10</w:t>
      </w:r>
    </w:p>
    <w:p w:rsidR="0055582F" w:rsidRPr="00A1587A" w:rsidRDefault="0055582F" w:rsidP="0055582F">
      <w:r w:rsidRPr="00A1587A">
        <w:t>Détermine si les affirmations sont vraies ou fausses</w:t>
      </w:r>
    </w:p>
    <w:p w:rsidR="0055582F" w:rsidRPr="00A1587A" w:rsidRDefault="0055582F" w:rsidP="0055582F">
      <w:pPr>
        <w:numPr>
          <w:ilvl w:val="0"/>
          <w:numId w:val="2"/>
        </w:numPr>
        <w:tabs>
          <w:tab w:val="left" w:pos="1440"/>
        </w:tabs>
      </w:pPr>
      <w:r w:rsidRPr="00A1587A">
        <w:t>Si la réponse est fausse, donne la bonne réponse et explique pourquoi c’est faux</w:t>
      </w:r>
    </w:p>
    <w:p w:rsidR="0055582F" w:rsidRPr="00A1587A" w:rsidRDefault="0055582F" w:rsidP="0055582F">
      <w:pPr>
        <w:numPr>
          <w:ilvl w:val="0"/>
          <w:numId w:val="2"/>
        </w:numPr>
        <w:tabs>
          <w:tab w:val="left" w:pos="1440"/>
        </w:tabs>
      </w:pPr>
      <w:r w:rsidRPr="00A1587A">
        <w:t>Si la réponse est vraie, explique ta réponse au moyen de la théorie vue au cours</w:t>
      </w:r>
    </w:p>
    <w:p w:rsidR="0055582F" w:rsidRPr="00A1587A" w:rsidRDefault="0055582F" w:rsidP="0055582F">
      <w:pPr>
        <w:tabs>
          <w:tab w:val="left" w:pos="1440"/>
        </w:tabs>
      </w:pPr>
      <w:r w:rsidRPr="00A1587A">
        <w:t>Il n’y a pas de points négatifs.</w:t>
      </w:r>
    </w:p>
    <w:p w:rsidR="0055582F" w:rsidRDefault="0055582F" w:rsidP="0055582F">
      <w:r w:rsidRPr="00A1587A">
        <w:t>Cependant, si l’explication est fausse, manquante ou incomplète, tu n’auras pas le point.</w:t>
      </w:r>
    </w:p>
    <w:p w:rsidR="0055582F" w:rsidRDefault="0055582F" w:rsidP="0055582F"/>
    <w:p w:rsidR="0055582F" w:rsidRPr="00A1587A" w:rsidRDefault="0055582F" w:rsidP="0055582F"/>
    <w:tbl>
      <w:tblPr>
        <w:tblW w:w="9412" w:type="dxa"/>
        <w:tblInd w:w="-20" w:type="dxa"/>
        <w:tblLayout w:type="fixed"/>
        <w:tblCellMar>
          <w:left w:w="70" w:type="dxa"/>
          <w:right w:w="70" w:type="dxa"/>
        </w:tblCellMar>
        <w:tblLook w:val="0000" w:firstRow="0" w:lastRow="0" w:firstColumn="0" w:lastColumn="0" w:noHBand="0" w:noVBand="0"/>
      </w:tblPr>
      <w:tblGrid>
        <w:gridCol w:w="8168"/>
        <w:gridCol w:w="144"/>
        <w:gridCol w:w="432"/>
        <w:gridCol w:w="144"/>
        <w:gridCol w:w="432"/>
        <w:gridCol w:w="92"/>
      </w:tblGrid>
      <w:tr w:rsidR="0055582F" w:rsidRPr="00A1587A" w:rsidTr="00413922">
        <w:trPr>
          <w:cantSplit/>
          <w:tblHeader/>
        </w:trPr>
        <w:tc>
          <w:tcPr>
            <w:tcW w:w="8168" w:type="dxa"/>
            <w:tcBorders>
              <w:top w:val="single" w:sz="4" w:space="0" w:color="000000"/>
              <w:left w:val="single" w:sz="4" w:space="0" w:color="000000"/>
              <w:bottom w:val="single" w:sz="4" w:space="0" w:color="000000"/>
            </w:tcBorders>
            <w:shd w:val="clear" w:color="auto" w:fill="auto"/>
          </w:tcPr>
          <w:p w:rsidR="0055582F" w:rsidRPr="00A1587A" w:rsidRDefault="0055582F" w:rsidP="00E439CA">
            <w:pPr>
              <w:snapToGrid w:val="0"/>
              <w:jc w:val="center"/>
              <w:rPr>
                <w:b/>
                <w:bCs/>
              </w:rPr>
            </w:pPr>
          </w:p>
        </w:tc>
        <w:tc>
          <w:tcPr>
            <w:tcW w:w="576" w:type="dxa"/>
            <w:gridSpan w:val="2"/>
            <w:tcBorders>
              <w:top w:val="single" w:sz="4" w:space="0" w:color="000000"/>
              <w:left w:val="single" w:sz="4" w:space="0" w:color="000000"/>
              <w:bottom w:val="single" w:sz="4" w:space="0" w:color="000000"/>
            </w:tcBorders>
            <w:shd w:val="clear" w:color="auto" w:fill="auto"/>
          </w:tcPr>
          <w:p w:rsidR="0055582F" w:rsidRPr="00A1587A" w:rsidRDefault="0055582F" w:rsidP="00E439CA">
            <w:pPr>
              <w:pStyle w:val="Titre5"/>
              <w:tabs>
                <w:tab w:val="left" w:pos="0"/>
              </w:tabs>
              <w:snapToGrid w:val="0"/>
              <w:rPr>
                <w:sz w:val="20"/>
                <w:szCs w:val="20"/>
              </w:rPr>
            </w:pPr>
            <w:r w:rsidRPr="00A1587A">
              <w:rPr>
                <w:sz w:val="20"/>
                <w:szCs w:val="20"/>
              </w:rPr>
              <w:t>Vrai</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55582F" w:rsidRPr="00A1587A" w:rsidRDefault="0055582F" w:rsidP="00E439CA">
            <w:pPr>
              <w:snapToGrid w:val="0"/>
              <w:jc w:val="center"/>
              <w:rPr>
                <w:b/>
                <w:bCs/>
                <w:sz w:val="20"/>
              </w:rPr>
            </w:pPr>
            <w:r w:rsidRPr="00A1587A">
              <w:rPr>
                <w:b/>
                <w:bCs/>
                <w:sz w:val="20"/>
              </w:rPr>
              <w:t>Faux</w:t>
            </w:r>
          </w:p>
        </w:tc>
      </w:tr>
      <w:tr w:rsidR="00B920DB" w:rsidRPr="00A1587A" w:rsidTr="00413922">
        <w:tc>
          <w:tcPr>
            <w:tcW w:w="8168" w:type="dxa"/>
            <w:tcBorders>
              <w:top w:val="single" w:sz="4" w:space="0" w:color="000000"/>
              <w:left w:val="single" w:sz="4" w:space="0" w:color="000000"/>
              <w:bottom w:val="single" w:sz="4" w:space="0" w:color="000000"/>
            </w:tcBorders>
            <w:shd w:val="clear" w:color="auto" w:fill="auto"/>
          </w:tcPr>
          <w:p w:rsidR="00B920DB" w:rsidRPr="00A1587A" w:rsidRDefault="00B920DB" w:rsidP="007E0F87">
            <w:pPr>
              <w:snapToGrid w:val="0"/>
            </w:pPr>
            <w:r>
              <w:t>Ce sont les banques commerciales qui créent la monnaie.</w:t>
            </w:r>
          </w:p>
        </w:tc>
        <w:tc>
          <w:tcPr>
            <w:tcW w:w="576" w:type="dxa"/>
            <w:gridSpan w:val="2"/>
            <w:tcBorders>
              <w:top w:val="single" w:sz="4" w:space="0" w:color="000000"/>
              <w:left w:val="single" w:sz="4" w:space="0" w:color="000000"/>
              <w:bottom w:val="single" w:sz="4" w:space="0" w:color="000000"/>
            </w:tcBorders>
            <w:shd w:val="clear" w:color="auto" w:fill="auto"/>
          </w:tcPr>
          <w:p w:rsidR="00B920DB" w:rsidRPr="00A1587A" w:rsidRDefault="00B920DB" w:rsidP="00E439CA">
            <w:pPr>
              <w:snapToGrid w:val="0"/>
            </w:pP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B920DB" w:rsidRPr="00A1587A" w:rsidRDefault="00B920DB" w:rsidP="00E439CA">
            <w:pPr>
              <w:snapToGrid w:val="0"/>
            </w:pPr>
          </w:p>
        </w:tc>
      </w:tr>
      <w:tr w:rsidR="00B920DB" w:rsidRPr="00A1587A" w:rsidTr="00413922">
        <w:trPr>
          <w:cantSplit/>
          <w:trHeight w:val="1105"/>
        </w:trPr>
        <w:tc>
          <w:tcPr>
            <w:tcW w:w="9412" w:type="dxa"/>
            <w:gridSpan w:val="6"/>
            <w:tcBorders>
              <w:top w:val="single" w:sz="4" w:space="0" w:color="000000"/>
              <w:left w:val="single" w:sz="4" w:space="0" w:color="000000"/>
              <w:bottom w:val="single" w:sz="4" w:space="0" w:color="000000"/>
              <w:right w:val="single" w:sz="4" w:space="0" w:color="000000"/>
            </w:tcBorders>
            <w:shd w:val="clear" w:color="auto" w:fill="auto"/>
          </w:tcPr>
          <w:p w:rsidR="00B920DB" w:rsidRPr="00A1587A" w:rsidRDefault="00B920DB" w:rsidP="00E439CA">
            <w:pPr>
              <w:snapToGrid w:val="0"/>
              <w:rPr>
                <w:b/>
                <w:bCs/>
              </w:rPr>
            </w:pPr>
            <w:r w:rsidRPr="00A1587A">
              <w:rPr>
                <w:b/>
                <w:bCs/>
              </w:rPr>
              <w:t xml:space="preserve">Explication : </w:t>
            </w:r>
          </w:p>
          <w:p w:rsidR="00B920DB" w:rsidRDefault="00B920DB" w:rsidP="00E439CA">
            <w:pPr>
              <w:rPr>
                <w:b/>
                <w:bCs/>
              </w:rPr>
            </w:pPr>
          </w:p>
          <w:p w:rsidR="00B920DB" w:rsidRPr="00A1587A" w:rsidRDefault="00B920DB" w:rsidP="00E439CA">
            <w:pPr>
              <w:rPr>
                <w:b/>
                <w:bCs/>
              </w:rPr>
            </w:pPr>
          </w:p>
          <w:p w:rsidR="00B920DB" w:rsidRPr="00A1587A" w:rsidRDefault="00B920DB" w:rsidP="00E439CA"/>
          <w:p w:rsidR="00B920DB" w:rsidRPr="00A1587A" w:rsidRDefault="00B920DB" w:rsidP="00E439CA">
            <w:pPr>
              <w:rPr>
                <w:b/>
                <w:bCs/>
              </w:rPr>
            </w:pPr>
          </w:p>
        </w:tc>
      </w:tr>
      <w:tr w:rsidR="00B920DB" w:rsidRPr="00A1587A" w:rsidTr="00413922">
        <w:trPr>
          <w:gridAfter w:val="1"/>
          <w:wAfter w:w="92" w:type="dxa"/>
        </w:trPr>
        <w:tc>
          <w:tcPr>
            <w:tcW w:w="8168" w:type="dxa"/>
            <w:tcBorders>
              <w:top w:val="single" w:sz="4" w:space="0" w:color="000000"/>
              <w:left w:val="single" w:sz="4" w:space="0" w:color="000000"/>
              <w:bottom w:val="single" w:sz="4" w:space="0" w:color="000000"/>
            </w:tcBorders>
            <w:shd w:val="clear" w:color="auto" w:fill="auto"/>
          </w:tcPr>
          <w:p w:rsidR="00B920DB" w:rsidRPr="00A1587A" w:rsidRDefault="004046A5" w:rsidP="004046A5">
            <w:pPr>
              <w:snapToGrid w:val="0"/>
            </w:pPr>
            <w:r>
              <w:t xml:space="preserve">Une politique monétaire </w:t>
            </w:r>
            <w:r w:rsidR="002842BC">
              <w:t>accommodante</w:t>
            </w:r>
            <w:r>
              <w:t xml:space="preserve"> a tendance à imposer des coefficients de réserve bas.</w:t>
            </w:r>
          </w:p>
        </w:tc>
        <w:tc>
          <w:tcPr>
            <w:tcW w:w="576" w:type="dxa"/>
            <w:gridSpan w:val="2"/>
            <w:tcBorders>
              <w:top w:val="single" w:sz="4" w:space="0" w:color="000000"/>
              <w:left w:val="single" w:sz="4" w:space="0" w:color="000000"/>
              <w:bottom w:val="single" w:sz="4" w:space="0" w:color="000000"/>
            </w:tcBorders>
            <w:shd w:val="clear" w:color="auto" w:fill="auto"/>
          </w:tcPr>
          <w:p w:rsidR="00B920DB" w:rsidRPr="00A1587A" w:rsidRDefault="00B920DB" w:rsidP="00E439CA">
            <w:pPr>
              <w:snapToGrid w:val="0"/>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B920DB" w:rsidRPr="00A1587A" w:rsidRDefault="00B920DB" w:rsidP="00E439CA">
            <w:pPr>
              <w:snapToGrid w:val="0"/>
            </w:pPr>
          </w:p>
        </w:tc>
      </w:tr>
      <w:tr w:rsidR="00B920DB" w:rsidRPr="00A1587A" w:rsidTr="00413922">
        <w:trPr>
          <w:cantSplit/>
          <w:trHeight w:val="1105"/>
        </w:trPr>
        <w:tc>
          <w:tcPr>
            <w:tcW w:w="9412" w:type="dxa"/>
            <w:gridSpan w:val="6"/>
            <w:tcBorders>
              <w:top w:val="single" w:sz="4" w:space="0" w:color="000000"/>
              <w:left w:val="single" w:sz="4" w:space="0" w:color="000000"/>
              <w:bottom w:val="single" w:sz="4" w:space="0" w:color="000000"/>
              <w:right w:val="single" w:sz="4" w:space="0" w:color="000000"/>
            </w:tcBorders>
            <w:shd w:val="clear" w:color="auto" w:fill="auto"/>
          </w:tcPr>
          <w:p w:rsidR="00B920DB" w:rsidRPr="00A1587A" w:rsidRDefault="00B920DB" w:rsidP="00E439CA">
            <w:pPr>
              <w:snapToGrid w:val="0"/>
              <w:rPr>
                <w:b/>
                <w:bCs/>
              </w:rPr>
            </w:pPr>
            <w:r w:rsidRPr="00A1587A">
              <w:rPr>
                <w:b/>
                <w:bCs/>
              </w:rPr>
              <w:t xml:space="preserve">Explication : </w:t>
            </w:r>
          </w:p>
          <w:p w:rsidR="00B920DB" w:rsidRDefault="00B920DB" w:rsidP="00E439CA">
            <w:pPr>
              <w:rPr>
                <w:b/>
                <w:bCs/>
              </w:rPr>
            </w:pPr>
          </w:p>
          <w:p w:rsidR="00B920DB" w:rsidRPr="00A1587A" w:rsidRDefault="00B920DB" w:rsidP="00E439CA">
            <w:pPr>
              <w:rPr>
                <w:b/>
                <w:bCs/>
              </w:rPr>
            </w:pPr>
          </w:p>
          <w:p w:rsidR="00B920DB" w:rsidRPr="00A1587A" w:rsidRDefault="00B920DB" w:rsidP="00E439CA">
            <w:pPr>
              <w:rPr>
                <w:b/>
                <w:bCs/>
              </w:rPr>
            </w:pPr>
          </w:p>
          <w:p w:rsidR="00B920DB" w:rsidRPr="00A1587A" w:rsidRDefault="00B920DB" w:rsidP="00E439CA">
            <w:pPr>
              <w:rPr>
                <w:b/>
                <w:bCs/>
              </w:rPr>
            </w:pPr>
          </w:p>
        </w:tc>
      </w:tr>
      <w:tr w:rsidR="00B920DB" w:rsidRPr="00A1587A" w:rsidTr="00413922">
        <w:tc>
          <w:tcPr>
            <w:tcW w:w="8312" w:type="dxa"/>
            <w:gridSpan w:val="2"/>
            <w:tcBorders>
              <w:top w:val="single" w:sz="4" w:space="0" w:color="000000"/>
              <w:left w:val="single" w:sz="4" w:space="0" w:color="000000"/>
              <w:bottom w:val="single" w:sz="4" w:space="0" w:color="000000"/>
            </w:tcBorders>
            <w:shd w:val="clear" w:color="auto" w:fill="auto"/>
          </w:tcPr>
          <w:p w:rsidR="00B920DB" w:rsidRPr="00A1587A" w:rsidRDefault="00B920DB" w:rsidP="00E71D2E">
            <w:pPr>
              <w:snapToGrid w:val="0"/>
            </w:pPr>
            <w:r>
              <w:t>La monnaie-marchandise n’existe plus depuis l’Antiquité</w:t>
            </w:r>
            <w:r w:rsidRPr="00AA4FA5">
              <w:t>.</w:t>
            </w:r>
          </w:p>
        </w:tc>
        <w:tc>
          <w:tcPr>
            <w:tcW w:w="576" w:type="dxa"/>
            <w:gridSpan w:val="2"/>
            <w:tcBorders>
              <w:top w:val="single" w:sz="4" w:space="0" w:color="000000"/>
              <w:left w:val="single" w:sz="4" w:space="0" w:color="000000"/>
              <w:bottom w:val="single" w:sz="4" w:space="0" w:color="000000"/>
            </w:tcBorders>
            <w:shd w:val="clear" w:color="auto" w:fill="auto"/>
          </w:tcPr>
          <w:p w:rsidR="00B920DB" w:rsidRPr="00A1587A" w:rsidRDefault="00B920DB" w:rsidP="00E439CA">
            <w:pPr>
              <w:snapToGrid w:val="0"/>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Pr>
          <w:p w:rsidR="00B920DB" w:rsidRPr="00A1587A" w:rsidRDefault="00B920DB" w:rsidP="00E439CA">
            <w:pPr>
              <w:snapToGrid w:val="0"/>
            </w:pPr>
          </w:p>
        </w:tc>
      </w:tr>
      <w:tr w:rsidR="00B920DB" w:rsidRPr="00A1587A" w:rsidTr="00413922">
        <w:trPr>
          <w:trHeight w:val="1105"/>
        </w:trPr>
        <w:tc>
          <w:tcPr>
            <w:tcW w:w="9412" w:type="dxa"/>
            <w:gridSpan w:val="6"/>
            <w:tcBorders>
              <w:top w:val="single" w:sz="4" w:space="0" w:color="000000"/>
              <w:left w:val="single" w:sz="4" w:space="0" w:color="000000"/>
              <w:bottom w:val="single" w:sz="4" w:space="0" w:color="000000"/>
              <w:right w:val="single" w:sz="4" w:space="0" w:color="000000"/>
            </w:tcBorders>
            <w:shd w:val="clear" w:color="auto" w:fill="auto"/>
          </w:tcPr>
          <w:p w:rsidR="00B920DB" w:rsidRPr="00A1587A" w:rsidRDefault="00B920DB" w:rsidP="00140C5D">
            <w:pPr>
              <w:pStyle w:val="Titre6"/>
              <w:keepNext/>
              <w:tabs>
                <w:tab w:val="left" w:pos="0"/>
              </w:tabs>
              <w:snapToGrid w:val="0"/>
              <w:spacing w:before="0" w:after="0"/>
              <w:rPr>
                <w:b w:val="0"/>
                <w:bCs w:val="0"/>
              </w:rPr>
            </w:pPr>
            <w:r w:rsidRPr="00A1587A">
              <w:t>Explication :</w:t>
            </w:r>
          </w:p>
          <w:p w:rsidR="00B920DB" w:rsidRDefault="00B920DB" w:rsidP="00E439CA">
            <w:pPr>
              <w:jc w:val="center"/>
              <w:rPr>
                <w:b/>
                <w:bCs/>
              </w:rPr>
            </w:pPr>
          </w:p>
          <w:p w:rsidR="00B920DB" w:rsidRDefault="00B920DB" w:rsidP="00E439CA">
            <w:pPr>
              <w:jc w:val="center"/>
              <w:rPr>
                <w:b/>
                <w:bCs/>
              </w:rPr>
            </w:pPr>
          </w:p>
          <w:p w:rsidR="00B920DB" w:rsidRPr="00A1587A" w:rsidRDefault="00B920DB" w:rsidP="00E439CA">
            <w:pPr>
              <w:jc w:val="center"/>
              <w:rPr>
                <w:b/>
                <w:bCs/>
              </w:rPr>
            </w:pPr>
          </w:p>
          <w:p w:rsidR="00B920DB" w:rsidRPr="00A1587A" w:rsidRDefault="00B920DB" w:rsidP="00E439CA"/>
        </w:tc>
      </w:tr>
      <w:tr w:rsidR="00B920DB" w:rsidRPr="00A1587A" w:rsidTr="00413922">
        <w:tc>
          <w:tcPr>
            <w:tcW w:w="8312" w:type="dxa"/>
            <w:gridSpan w:val="2"/>
            <w:tcBorders>
              <w:top w:val="single" w:sz="4" w:space="0" w:color="000000"/>
              <w:left w:val="single" w:sz="4" w:space="0" w:color="000000"/>
              <w:bottom w:val="single" w:sz="4" w:space="0" w:color="000000"/>
            </w:tcBorders>
            <w:shd w:val="clear" w:color="auto" w:fill="auto"/>
          </w:tcPr>
          <w:p w:rsidR="00B920DB" w:rsidRPr="00A1587A" w:rsidRDefault="00B920DB" w:rsidP="00E71D2E">
            <w:pPr>
              <w:snapToGrid w:val="0"/>
            </w:pPr>
            <w:r>
              <w:t>La masse de monnaie fiduciaire détenue par les ménages a une influence sur la création monétaire.</w:t>
            </w:r>
          </w:p>
        </w:tc>
        <w:tc>
          <w:tcPr>
            <w:tcW w:w="576" w:type="dxa"/>
            <w:gridSpan w:val="2"/>
            <w:tcBorders>
              <w:top w:val="single" w:sz="4" w:space="0" w:color="000000"/>
              <w:left w:val="single" w:sz="4" w:space="0" w:color="000000"/>
              <w:bottom w:val="single" w:sz="4" w:space="0" w:color="000000"/>
            </w:tcBorders>
            <w:shd w:val="clear" w:color="auto" w:fill="auto"/>
          </w:tcPr>
          <w:p w:rsidR="00B920DB" w:rsidRPr="00A1587A" w:rsidRDefault="00B920DB" w:rsidP="00E439CA">
            <w:pPr>
              <w:snapToGrid w:val="0"/>
            </w:pP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tcPr>
          <w:p w:rsidR="00B920DB" w:rsidRPr="00A1587A" w:rsidRDefault="00B920DB" w:rsidP="00E439CA">
            <w:pPr>
              <w:snapToGrid w:val="0"/>
            </w:pPr>
          </w:p>
        </w:tc>
      </w:tr>
      <w:tr w:rsidR="00B920DB" w:rsidRPr="00A1587A" w:rsidTr="00413922">
        <w:trPr>
          <w:trHeight w:val="1105"/>
        </w:trPr>
        <w:tc>
          <w:tcPr>
            <w:tcW w:w="9412" w:type="dxa"/>
            <w:gridSpan w:val="6"/>
            <w:tcBorders>
              <w:top w:val="single" w:sz="4" w:space="0" w:color="000000"/>
              <w:left w:val="single" w:sz="4" w:space="0" w:color="000000"/>
              <w:bottom w:val="single" w:sz="4" w:space="0" w:color="000000"/>
              <w:right w:val="single" w:sz="4" w:space="0" w:color="000000"/>
            </w:tcBorders>
            <w:shd w:val="clear" w:color="auto" w:fill="auto"/>
          </w:tcPr>
          <w:p w:rsidR="00B920DB" w:rsidRPr="00A1587A" w:rsidRDefault="00B920DB" w:rsidP="00E439CA">
            <w:pPr>
              <w:snapToGrid w:val="0"/>
              <w:rPr>
                <w:b/>
                <w:bCs/>
              </w:rPr>
            </w:pPr>
            <w:r w:rsidRPr="00A1587A">
              <w:rPr>
                <w:b/>
                <w:bCs/>
              </w:rPr>
              <w:t xml:space="preserve">Explication : </w:t>
            </w:r>
          </w:p>
          <w:p w:rsidR="00B920DB" w:rsidRPr="00A1587A" w:rsidRDefault="00B920DB" w:rsidP="00E439CA">
            <w:pPr>
              <w:rPr>
                <w:b/>
                <w:bCs/>
              </w:rPr>
            </w:pPr>
          </w:p>
          <w:p w:rsidR="00B920DB" w:rsidRDefault="00B920DB" w:rsidP="00E439CA">
            <w:pPr>
              <w:rPr>
                <w:b/>
                <w:bCs/>
              </w:rPr>
            </w:pPr>
          </w:p>
          <w:p w:rsidR="00B920DB" w:rsidRPr="00A1587A" w:rsidRDefault="00B920DB" w:rsidP="00E439CA">
            <w:pPr>
              <w:rPr>
                <w:b/>
                <w:bCs/>
              </w:rPr>
            </w:pPr>
          </w:p>
          <w:p w:rsidR="00B920DB" w:rsidRPr="00A1587A" w:rsidRDefault="00B920DB" w:rsidP="00E439CA"/>
        </w:tc>
      </w:tr>
    </w:tbl>
    <w:p w:rsidR="0055582F" w:rsidRDefault="0055582F" w:rsidP="0055582F"/>
    <w:p w:rsidR="00DD1AC4" w:rsidRDefault="00DD1AC4" w:rsidP="00DD1AC4">
      <w:r>
        <w:t xml:space="preserve">Si le coefficient de réserve vaut 4% et que la proportion de liquidités </w:t>
      </w:r>
      <w:r w:rsidR="000224BD">
        <w:t xml:space="preserve">détenue par les particuliers </w:t>
      </w:r>
      <w:r>
        <w:t>vaut 9</w:t>
      </w:r>
      <w:proofErr w:type="gramStart"/>
      <w:r>
        <w:t>% ,</w:t>
      </w:r>
      <w:proofErr w:type="gramEnd"/>
      <w:r>
        <w:t xml:space="preserve"> que vaudra le multiplicateur monétaire ?</w:t>
      </w:r>
    </w:p>
    <w:p w:rsidR="00DD1AC4" w:rsidRDefault="00DD1AC4" w:rsidP="0055582F"/>
    <w:p w:rsidR="00DD1AC4" w:rsidRDefault="00DD1AC4" w:rsidP="0055582F"/>
    <w:p w:rsidR="006B03B7" w:rsidRDefault="006B03B7" w:rsidP="00DD1AC4">
      <w:pPr>
        <w:ind w:left="7200"/>
      </w:pPr>
    </w:p>
    <w:p w:rsidR="007A21A5" w:rsidRDefault="007A21A5" w:rsidP="00DD1AC4">
      <w:pPr>
        <w:ind w:left="7200"/>
      </w:pPr>
    </w:p>
    <w:p w:rsidR="007A21A5" w:rsidRDefault="007A21A5" w:rsidP="00DD1AC4">
      <w:pPr>
        <w:ind w:left="7200"/>
      </w:pPr>
    </w:p>
    <w:p w:rsidR="007A21A5" w:rsidRDefault="007A21A5" w:rsidP="00DD1AC4">
      <w:pPr>
        <w:ind w:left="7200"/>
      </w:pPr>
      <w:r>
        <w:t>Bon travail !</w:t>
      </w:r>
      <w:bookmarkStart w:id="0" w:name="_GoBack"/>
      <w:bookmarkEnd w:id="0"/>
    </w:p>
    <w:sectPr w:rsidR="007A21A5">
      <w:footerReference w:type="default" r:id="rId13"/>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C7" w:rsidRDefault="00F57CC7">
      <w:r>
        <w:separator/>
      </w:r>
    </w:p>
  </w:endnote>
  <w:endnote w:type="continuationSeparator" w:id="0">
    <w:p w:rsidR="00F57CC7" w:rsidRDefault="00F5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C5" w:rsidRDefault="009172C5">
    <w:pPr>
      <w:pStyle w:val="Pieddepage"/>
    </w:pPr>
    <w:r>
      <w:rPr>
        <w:rStyle w:val="Numrodepage"/>
      </w:rPr>
      <w:fldChar w:fldCharType="begin"/>
    </w:r>
    <w:r>
      <w:rPr>
        <w:rStyle w:val="Numrodepage"/>
      </w:rPr>
      <w:instrText xml:space="preserve"> PAGE </w:instrText>
    </w:r>
    <w:r>
      <w:rPr>
        <w:rStyle w:val="Numrodepage"/>
      </w:rPr>
      <w:fldChar w:fldCharType="separate"/>
    </w:r>
    <w:r w:rsidR="004667C9">
      <w:rPr>
        <w:rStyle w:val="Numrodepage"/>
        <w:noProof/>
      </w:rPr>
      <w:t>4</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C7" w:rsidRDefault="00F57CC7">
      <w:r>
        <w:separator/>
      </w:r>
    </w:p>
  </w:footnote>
  <w:footnote w:type="continuationSeparator" w:id="0">
    <w:p w:rsidR="00F57CC7" w:rsidRDefault="00F57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D327A02"/>
    <w:lvl w:ilvl="0">
      <w:start w:val="1"/>
      <w:numFmt w:val="none"/>
      <w:pStyle w:val="Titre4"/>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221E205A"/>
    <w:multiLevelType w:val="hybridMultilevel"/>
    <w:tmpl w:val="8D30CB3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4C9D69E3"/>
    <w:multiLevelType w:val="hybridMultilevel"/>
    <w:tmpl w:val="A4A830C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60E90F48"/>
    <w:multiLevelType w:val="hybridMultilevel"/>
    <w:tmpl w:val="F18C4C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75337AB9"/>
    <w:multiLevelType w:val="hybridMultilevel"/>
    <w:tmpl w:val="1A7A12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20"/>
    <w:rsid w:val="0001538E"/>
    <w:rsid w:val="000224BD"/>
    <w:rsid w:val="000E4B45"/>
    <w:rsid w:val="00140C5D"/>
    <w:rsid w:val="0016314D"/>
    <w:rsid w:val="00193159"/>
    <w:rsid w:val="001B0044"/>
    <w:rsid w:val="001B433D"/>
    <w:rsid w:val="001D0220"/>
    <w:rsid w:val="001E41C4"/>
    <w:rsid w:val="001E57A0"/>
    <w:rsid w:val="00213075"/>
    <w:rsid w:val="002311FE"/>
    <w:rsid w:val="002508EA"/>
    <w:rsid w:val="00254EB5"/>
    <w:rsid w:val="00277046"/>
    <w:rsid w:val="002842BC"/>
    <w:rsid w:val="002B3F1A"/>
    <w:rsid w:val="002E4775"/>
    <w:rsid w:val="002F62FD"/>
    <w:rsid w:val="003550FC"/>
    <w:rsid w:val="00373291"/>
    <w:rsid w:val="003D5C66"/>
    <w:rsid w:val="003E1716"/>
    <w:rsid w:val="004046A5"/>
    <w:rsid w:val="0041014B"/>
    <w:rsid w:val="00413922"/>
    <w:rsid w:val="00433C68"/>
    <w:rsid w:val="00442D07"/>
    <w:rsid w:val="00442DE1"/>
    <w:rsid w:val="004507D2"/>
    <w:rsid w:val="004667C9"/>
    <w:rsid w:val="004D2F55"/>
    <w:rsid w:val="004E7AD4"/>
    <w:rsid w:val="004F39D5"/>
    <w:rsid w:val="00520C7E"/>
    <w:rsid w:val="0055582F"/>
    <w:rsid w:val="00577D6D"/>
    <w:rsid w:val="0058313D"/>
    <w:rsid w:val="005C3819"/>
    <w:rsid w:val="005D6362"/>
    <w:rsid w:val="005E0BF4"/>
    <w:rsid w:val="00615F06"/>
    <w:rsid w:val="0065362B"/>
    <w:rsid w:val="00672332"/>
    <w:rsid w:val="006978C2"/>
    <w:rsid w:val="006B03B7"/>
    <w:rsid w:val="006D7066"/>
    <w:rsid w:val="006E2BFA"/>
    <w:rsid w:val="00702BCC"/>
    <w:rsid w:val="00712E90"/>
    <w:rsid w:val="00727493"/>
    <w:rsid w:val="007653D2"/>
    <w:rsid w:val="007777A2"/>
    <w:rsid w:val="007A21A5"/>
    <w:rsid w:val="007C0886"/>
    <w:rsid w:val="007F01F5"/>
    <w:rsid w:val="00800869"/>
    <w:rsid w:val="0088356A"/>
    <w:rsid w:val="009172C5"/>
    <w:rsid w:val="00923E9A"/>
    <w:rsid w:val="009669F9"/>
    <w:rsid w:val="00A11EBB"/>
    <w:rsid w:val="00A1587A"/>
    <w:rsid w:val="00A2352F"/>
    <w:rsid w:val="00A343CF"/>
    <w:rsid w:val="00A730B4"/>
    <w:rsid w:val="00AA4FA5"/>
    <w:rsid w:val="00AE31F1"/>
    <w:rsid w:val="00B15E70"/>
    <w:rsid w:val="00B33EA4"/>
    <w:rsid w:val="00B5112B"/>
    <w:rsid w:val="00B53AD0"/>
    <w:rsid w:val="00B657CC"/>
    <w:rsid w:val="00B762E1"/>
    <w:rsid w:val="00B920DB"/>
    <w:rsid w:val="00B929C9"/>
    <w:rsid w:val="00BA4F08"/>
    <w:rsid w:val="00BC1512"/>
    <w:rsid w:val="00CD6D49"/>
    <w:rsid w:val="00D31A39"/>
    <w:rsid w:val="00DA3107"/>
    <w:rsid w:val="00DD1AC4"/>
    <w:rsid w:val="00DD79BA"/>
    <w:rsid w:val="00E02680"/>
    <w:rsid w:val="00E25E5A"/>
    <w:rsid w:val="00E54D64"/>
    <w:rsid w:val="00E6472D"/>
    <w:rsid w:val="00E71D2E"/>
    <w:rsid w:val="00E963F7"/>
    <w:rsid w:val="00EB2C35"/>
    <w:rsid w:val="00F57CC7"/>
    <w:rsid w:val="00F839CA"/>
    <w:rsid w:val="00FE0C23"/>
    <w:rsid w:val="00FE2AF0"/>
    <w:rsid w:val="00FE70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ar-SA"/>
    </w:rPr>
  </w:style>
  <w:style w:type="paragraph" w:styleId="Titre1">
    <w:name w:val="heading 1"/>
    <w:basedOn w:val="Normal"/>
    <w:next w:val="Normal"/>
    <w:qFormat/>
    <w:pPr>
      <w:keepNext/>
      <w:tabs>
        <w:tab w:val="num" w:pos="432"/>
      </w:tabs>
      <w:ind w:left="432" w:hanging="432"/>
      <w:outlineLvl w:val="0"/>
    </w:pPr>
    <w:rPr>
      <w:rFonts w:ascii="Palatino Linotype" w:hAnsi="Palatino Linotype"/>
      <w:b/>
      <w:bCs/>
      <w:u w:val="single"/>
    </w:rPr>
  </w:style>
  <w:style w:type="paragraph" w:styleId="Titre2">
    <w:name w:val="heading 2"/>
    <w:basedOn w:val="Normal"/>
    <w:next w:val="Normal"/>
    <w:qFormat/>
    <w:pPr>
      <w:keepNext/>
      <w:numPr>
        <w:ilvl w:val="1"/>
        <w:numId w:val="1"/>
      </w:numPr>
      <w:outlineLvl w:val="1"/>
    </w:pPr>
    <w:rPr>
      <w:rFonts w:ascii="Palatino Linotype" w:hAnsi="Palatino Linotype"/>
      <w:sz w:val="32"/>
      <w:u w:val="single"/>
    </w:rPr>
  </w:style>
  <w:style w:type="paragraph" w:styleId="Titre3">
    <w:name w:val="heading 3"/>
    <w:basedOn w:val="Normal"/>
    <w:next w:val="Normal"/>
    <w:qFormat/>
    <w:pPr>
      <w:keepNext/>
      <w:numPr>
        <w:ilvl w:val="2"/>
        <w:numId w:val="1"/>
      </w:numPr>
      <w:outlineLvl w:val="2"/>
    </w:pPr>
    <w:rPr>
      <w:rFonts w:ascii="Palatino Linotype" w:hAnsi="Palatino Linotype"/>
      <w:u w:val="single"/>
    </w:rPr>
  </w:style>
  <w:style w:type="paragraph" w:styleId="Titre4">
    <w:name w:val="heading 4"/>
    <w:basedOn w:val="Normal"/>
    <w:next w:val="Normal"/>
    <w:link w:val="Titre4Car"/>
    <w:uiPriority w:val="9"/>
    <w:unhideWhenUsed/>
    <w:qFormat/>
    <w:rsid w:val="00442D07"/>
    <w:pPr>
      <w:keepNext/>
      <w:widowControl w:val="0"/>
      <w:numPr>
        <w:numId w:val="1"/>
      </w:numPr>
      <w:tabs>
        <w:tab w:val="clear" w:pos="432"/>
        <w:tab w:val="num" w:pos="0"/>
      </w:tabs>
      <w:ind w:left="0" w:firstLine="0"/>
      <w:outlineLvl w:val="3"/>
    </w:pPr>
    <w:rPr>
      <w:rFonts w:eastAsia="Lucida Sans Unicode"/>
      <w:b/>
      <w:sz w:val="32"/>
      <w:lang w:val="fr-FR" w:eastAsia="fr-BE"/>
    </w:rPr>
  </w:style>
  <w:style w:type="paragraph" w:styleId="Titre5">
    <w:name w:val="heading 5"/>
    <w:basedOn w:val="Normal"/>
    <w:next w:val="Normal"/>
    <w:qFormat/>
    <w:pPr>
      <w:keepNext/>
      <w:numPr>
        <w:ilvl w:val="4"/>
        <w:numId w:val="1"/>
      </w:numPr>
      <w:jc w:val="center"/>
      <w:outlineLvl w:val="4"/>
    </w:pPr>
    <w:rPr>
      <w:b/>
      <w:bCs/>
      <w:szCs w:val="24"/>
      <w:lang w:val="fr-FR"/>
    </w:rPr>
  </w:style>
  <w:style w:type="paragraph" w:styleId="Titre6">
    <w:name w:val="heading 6"/>
    <w:basedOn w:val="Normal"/>
    <w:next w:val="Normal"/>
    <w:qFormat/>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Policepardfaut1">
    <w:name w:val="Police par défau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6z0">
    <w:name w:val="WW8Num6z0"/>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Palatino Linotype" w:eastAsia="Times New Roman" w:hAnsi="Palatino Linotype" w:cs="Times New Roman"/>
    </w:rPr>
  </w:style>
  <w:style w:type="character" w:customStyle="1" w:styleId="WW8Num13z0">
    <w:name w:val="WW8Num13z0"/>
    <w:rPr>
      <w:rFonts w:ascii="Symbol" w:hAnsi="Symbol"/>
    </w:rPr>
  </w:style>
  <w:style w:type="character" w:customStyle="1" w:styleId="WW8Num17z0">
    <w:name w:val="WW8Num17z0"/>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Policepardfaut10">
    <w:name w:val="Police par défaut1"/>
  </w:style>
  <w:style w:type="character" w:styleId="Lienhypertexte">
    <w:name w:val="Hyperlink"/>
    <w:rPr>
      <w:color w:val="0000FF"/>
      <w:u w:val="single"/>
    </w:rPr>
  </w:style>
  <w:style w:type="character" w:customStyle="1" w:styleId="titre10">
    <w:name w:val="titre1"/>
    <w:rPr>
      <w:rFonts w:ascii="Trebuchet MS" w:hAnsi="Trebuchet MS"/>
      <w:b/>
      <w:bCs/>
      <w:color w:val="660033"/>
      <w:spacing w:val="12"/>
      <w:sz w:val="26"/>
      <w:szCs w:val="26"/>
    </w:rPr>
  </w:style>
  <w:style w:type="character" w:customStyle="1" w:styleId="signature1">
    <w:name w:val="signature1"/>
    <w:rPr>
      <w:rFonts w:ascii="Verdana" w:hAnsi="Verdana"/>
      <w:color w:val="990000"/>
      <w:sz w:val="13"/>
      <w:szCs w:val="13"/>
    </w:rPr>
  </w:style>
  <w:style w:type="character" w:customStyle="1" w:styleId="date1">
    <w:name w:val="date1"/>
    <w:rPr>
      <w:rFonts w:ascii="Arial" w:hAnsi="Arial" w:cs="Arial"/>
      <w:strike w:val="0"/>
      <w:dstrike w:val="0"/>
      <w:color w:val="999999"/>
      <w:sz w:val="13"/>
      <w:szCs w:val="13"/>
      <w:u w:val="none"/>
    </w:rPr>
  </w:style>
  <w:style w:type="character" w:customStyle="1" w:styleId="texteintro1">
    <w:name w:val="texteintro1"/>
    <w:rPr>
      <w:rFonts w:ascii="Verdana" w:hAnsi="Verdana"/>
      <w:b/>
      <w:bCs/>
      <w:color w:val="000000"/>
      <w:sz w:val="16"/>
      <w:szCs w:val="16"/>
    </w:rPr>
  </w:style>
  <w:style w:type="character" w:customStyle="1" w:styleId="actu-tit21">
    <w:name w:val="actu-tit21"/>
    <w:rPr>
      <w:rFonts w:ascii="Verdana" w:hAnsi="Verdana"/>
      <w:b/>
      <w:bCs/>
      <w:sz w:val="20"/>
      <w:szCs w:val="20"/>
    </w:rPr>
  </w:style>
  <w:style w:type="character" w:customStyle="1" w:styleId="art-tit1">
    <w:name w:val="art-tit1"/>
    <w:rPr>
      <w:rFonts w:ascii="Verdana" w:hAnsi="Verdana"/>
      <w:b/>
      <w:bCs/>
      <w:color w:val="B90000"/>
      <w:sz w:val="27"/>
      <w:szCs w:val="27"/>
    </w:rPr>
  </w:style>
  <w:style w:type="character" w:customStyle="1" w:styleId="art-aut1">
    <w:name w:val="art-aut1"/>
    <w:rPr>
      <w:rFonts w:ascii="Verdana" w:hAnsi="Verdana"/>
      <w:sz w:val="15"/>
      <w:szCs w:val="15"/>
    </w:rPr>
  </w:style>
  <w:style w:type="character" w:customStyle="1" w:styleId="actu-dat11">
    <w:name w:val="actu-dat11"/>
    <w:rPr>
      <w:rFonts w:ascii="Verdana" w:hAnsi="Verdana"/>
      <w:color w:val="999999"/>
      <w:sz w:val="14"/>
      <w:szCs w:val="14"/>
    </w:rPr>
  </w:style>
  <w:style w:type="character" w:customStyle="1" w:styleId="Caractresdenotedebasdepage">
    <w:name w:val="Caractères de note de bas de page"/>
    <w:rPr>
      <w:vertAlign w:val="superscript"/>
    </w:rPr>
  </w:style>
  <w:style w:type="character" w:styleId="Numrodepage">
    <w:name w:val="page number"/>
    <w:basedOn w:val="Policepardfaut10"/>
  </w:style>
  <w:style w:type="character" w:customStyle="1" w:styleId="Caractresdenumrotation">
    <w:name w:val="Caractères de numérotation"/>
  </w:style>
  <w:style w:type="paragraph" w:customStyle="1" w:styleId="Titre11">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itre12">
    <w:name w:val="Titre1"/>
    <w:basedOn w:val="Normal"/>
    <w:next w:val="Corpsdetexte"/>
    <w:pPr>
      <w:keepNext/>
      <w:spacing w:before="240" w:after="120"/>
    </w:pPr>
    <w:rPr>
      <w:rFonts w:ascii="Arial" w:eastAsia="MS Mincho" w:hAnsi="Arial" w:cs="Tahoma"/>
      <w:sz w:val="28"/>
      <w:szCs w:val="28"/>
    </w:rPr>
  </w:style>
  <w:style w:type="paragraph" w:customStyle="1" w:styleId="Lgende10">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pPr>
      <w:spacing w:before="100" w:after="100"/>
    </w:pPr>
    <w:rPr>
      <w:rFonts w:ascii="Arial Unicode MS" w:eastAsia="Arial Unicode MS" w:hAnsi="Arial Unicode MS" w:cs="Arial Unicode MS"/>
      <w:lang w:val="fr-FR"/>
    </w:rPr>
  </w:style>
  <w:style w:type="paragraph" w:customStyle="1" w:styleId="chapo">
    <w:name w:val="chapo"/>
    <w:basedOn w:val="Normal"/>
    <w:pPr>
      <w:spacing w:before="100" w:after="100"/>
      <w:jc w:val="both"/>
    </w:pPr>
    <w:rPr>
      <w:rFonts w:ascii="Verdana" w:eastAsia="Arial Unicode MS" w:hAnsi="Verdana"/>
      <w:b/>
      <w:color w:val="000000"/>
      <w:sz w:val="18"/>
      <w:lang w:val="en-GB"/>
    </w:rPr>
  </w:style>
  <w:style w:type="paragraph" w:customStyle="1" w:styleId="spip">
    <w:name w:val="spip"/>
    <w:basedOn w:val="Normal"/>
    <w:pPr>
      <w:spacing w:before="100" w:after="100"/>
    </w:pPr>
    <w:rPr>
      <w:rFonts w:ascii="Arial Unicode MS" w:eastAsia="Arial Unicode MS" w:hAnsi="Arial Unicode MS"/>
      <w:color w:val="000000"/>
      <w:lang w:val="en-GB"/>
    </w:rPr>
  </w:style>
  <w:style w:type="paragraph" w:styleId="Notedebasdepage">
    <w:name w:val="footnote text"/>
    <w:basedOn w:val="Normal"/>
    <w:rPr>
      <w:sz w:val="20"/>
    </w:rPr>
  </w:style>
  <w:style w:type="paragraph" w:customStyle="1" w:styleId="Textedebulles1">
    <w:name w:val="Texte de bulles1"/>
    <w:basedOn w:val="Normal"/>
    <w:rPr>
      <w:rFonts w:ascii="Tahoma" w:hAnsi="Tahoma" w:cs="Tahoma"/>
      <w:sz w:val="16"/>
      <w:szCs w:val="16"/>
    </w:rPr>
  </w:style>
  <w:style w:type="paragraph" w:customStyle="1" w:styleId="Corpsdetexte32">
    <w:name w:val="Corps de texte 32"/>
    <w:basedOn w:val="Normal"/>
    <w:rPr>
      <w:lang w:val="fr-FR"/>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rpsdetexte31">
    <w:name w:val="Corps de texte 31"/>
    <w:basedOn w:val="Normal"/>
    <w:rPr>
      <w:lang w:val="fr-FR"/>
    </w:rPr>
  </w:style>
  <w:style w:type="paragraph" w:customStyle="1" w:styleId="publiele1">
    <w:name w:val="publiele1"/>
    <w:basedOn w:val="Normal"/>
    <w:rsid w:val="00D31A39"/>
    <w:pPr>
      <w:suppressAutoHyphens w:val="0"/>
      <w:spacing w:after="150"/>
      <w:jc w:val="both"/>
    </w:pPr>
    <w:rPr>
      <w:color w:val="999999"/>
      <w:szCs w:val="24"/>
      <w:lang w:eastAsia="fr-BE"/>
    </w:rPr>
  </w:style>
  <w:style w:type="paragraph" w:customStyle="1" w:styleId="filariane1">
    <w:name w:val="fil_ariane1"/>
    <w:basedOn w:val="Normal"/>
    <w:rsid w:val="00D31A39"/>
    <w:pPr>
      <w:suppressAutoHyphens w:val="0"/>
      <w:spacing w:after="150"/>
      <w:jc w:val="both"/>
    </w:pPr>
    <w:rPr>
      <w:szCs w:val="24"/>
      <w:lang w:eastAsia="fr-BE"/>
    </w:rPr>
  </w:style>
  <w:style w:type="paragraph" w:customStyle="1" w:styleId="auteur1">
    <w:name w:val="auteur1"/>
    <w:basedOn w:val="Normal"/>
    <w:rsid w:val="00D31A39"/>
    <w:pPr>
      <w:suppressAutoHyphens w:val="0"/>
      <w:spacing w:before="120" w:after="120"/>
      <w:jc w:val="both"/>
    </w:pPr>
    <w:rPr>
      <w:color w:val="999999"/>
      <w:szCs w:val="24"/>
      <w:lang w:eastAsia="fr-BE"/>
    </w:rPr>
  </w:style>
  <w:style w:type="paragraph" w:styleId="Textedebulles">
    <w:name w:val="Balloon Text"/>
    <w:basedOn w:val="Normal"/>
    <w:link w:val="TextedebullesCar"/>
    <w:uiPriority w:val="99"/>
    <w:semiHidden/>
    <w:unhideWhenUsed/>
    <w:rsid w:val="00D31A39"/>
    <w:rPr>
      <w:rFonts w:ascii="Tahoma" w:hAnsi="Tahoma" w:cs="Tahoma"/>
      <w:sz w:val="16"/>
      <w:szCs w:val="16"/>
    </w:rPr>
  </w:style>
  <w:style w:type="character" w:customStyle="1" w:styleId="TextedebullesCar">
    <w:name w:val="Texte de bulles Car"/>
    <w:basedOn w:val="Policepardfaut"/>
    <w:link w:val="Textedebulles"/>
    <w:uiPriority w:val="99"/>
    <w:semiHidden/>
    <w:rsid w:val="00D31A39"/>
    <w:rPr>
      <w:rFonts w:ascii="Tahoma" w:hAnsi="Tahoma" w:cs="Tahoma"/>
      <w:sz w:val="16"/>
      <w:szCs w:val="16"/>
      <w:lang w:eastAsia="ar-SA"/>
    </w:rPr>
  </w:style>
  <w:style w:type="character" w:styleId="Appelnotedebasdep">
    <w:name w:val="footnote reference"/>
    <w:basedOn w:val="Policepardfaut"/>
    <w:uiPriority w:val="99"/>
    <w:semiHidden/>
    <w:unhideWhenUsed/>
    <w:rsid w:val="00F839CA"/>
    <w:rPr>
      <w:vertAlign w:val="superscript"/>
    </w:rPr>
  </w:style>
  <w:style w:type="paragraph" w:styleId="Paragraphedeliste">
    <w:name w:val="List Paragraph"/>
    <w:basedOn w:val="Normal"/>
    <w:uiPriority w:val="34"/>
    <w:qFormat/>
    <w:rsid w:val="00F839CA"/>
    <w:pPr>
      <w:ind w:left="720"/>
      <w:contextualSpacing/>
    </w:pPr>
  </w:style>
  <w:style w:type="character" w:customStyle="1" w:styleId="Titre4Car">
    <w:name w:val="Titre 4 Car"/>
    <w:basedOn w:val="Policepardfaut"/>
    <w:link w:val="Titre4"/>
    <w:uiPriority w:val="9"/>
    <w:rsid w:val="00442D07"/>
    <w:rPr>
      <w:rFonts w:eastAsia="Lucida Sans Unicode"/>
      <w:b/>
      <w:sz w:val="3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ar-SA"/>
    </w:rPr>
  </w:style>
  <w:style w:type="paragraph" w:styleId="Titre1">
    <w:name w:val="heading 1"/>
    <w:basedOn w:val="Normal"/>
    <w:next w:val="Normal"/>
    <w:qFormat/>
    <w:pPr>
      <w:keepNext/>
      <w:tabs>
        <w:tab w:val="num" w:pos="432"/>
      </w:tabs>
      <w:ind w:left="432" w:hanging="432"/>
      <w:outlineLvl w:val="0"/>
    </w:pPr>
    <w:rPr>
      <w:rFonts w:ascii="Palatino Linotype" w:hAnsi="Palatino Linotype"/>
      <w:b/>
      <w:bCs/>
      <w:u w:val="single"/>
    </w:rPr>
  </w:style>
  <w:style w:type="paragraph" w:styleId="Titre2">
    <w:name w:val="heading 2"/>
    <w:basedOn w:val="Normal"/>
    <w:next w:val="Normal"/>
    <w:qFormat/>
    <w:pPr>
      <w:keepNext/>
      <w:numPr>
        <w:ilvl w:val="1"/>
        <w:numId w:val="1"/>
      </w:numPr>
      <w:outlineLvl w:val="1"/>
    </w:pPr>
    <w:rPr>
      <w:rFonts w:ascii="Palatino Linotype" w:hAnsi="Palatino Linotype"/>
      <w:sz w:val="32"/>
      <w:u w:val="single"/>
    </w:rPr>
  </w:style>
  <w:style w:type="paragraph" w:styleId="Titre3">
    <w:name w:val="heading 3"/>
    <w:basedOn w:val="Normal"/>
    <w:next w:val="Normal"/>
    <w:qFormat/>
    <w:pPr>
      <w:keepNext/>
      <w:numPr>
        <w:ilvl w:val="2"/>
        <w:numId w:val="1"/>
      </w:numPr>
      <w:outlineLvl w:val="2"/>
    </w:pPr>
    <w:rPr>
      <w:rFonts w:ascii="Palatino Linotype" w:hAnsi="Palatino Linotype"/>
      <w:u w:val="single"/>
    </w:rPr>
  </w:style>
  <w:style w:type="paragraph" w:styleId="Titre4">
    <w:name w:val="heading 4"/>
    <w:basedOn w:val="Normal"/>
    <w:next w:val="Normal"/>
    <w:link w:val="Titre4Car"/>
    <w:uiPriority w:val="9"/>
    <w:unhideWhenUsed/>
    <w:qFormat/>
    <w:rsid w:val="00442D07"/>
    <w:pPr>
      <w:keepNext/>
      <w:widowControl w:val="0"/>
      <w:numPr>
        <w:numId w:val="1"/>
      </w:numPr>
      <w:tabs>
        <w:tab w:val="clear" w:pos="432"/>
        <w:tab w:val="num" w:pos="0"/>
      </w:tabs>
      <w:ind w:left="0" w:firstLine="0"/>
      <w:outlineLvl w:val="3"/>
    </w:pPr>
    <w:rPr>
      <w:rFonts w:eastAsia="Lucida Sans Unicode"/>
      <w:b/>
      <w:sz w:val="32"/>
      <w:lang w:val="fr-FR" w:eastAsia="fr-BE"/>
    </w:rPr>
  </w:style>
  <w:style w:type="paragraph" w:styleId="Titre5">
    <w:name w:val="heading 5"/>
    <w:basedOn w:val="Normal"/>
    <w:next w:val="Normal"/>
    <w:qFormat/>
    <w:pPr>
      <w:keepNext/>
      <w:numPr>
        <w:ilvl w:val="4"/>
        <w:numId w:val="1"/>
      </w:numPr>
      <w:jc w:val="center"/>
      <w:outlineLvl w:val="4"/>
    </w:pPr>
    <w:rPr>
      <w:b/>
      <w:bCs/>
      <w:szCs w:val="24"/>
      <w:lang w:val="fr-FR"/>
    </w:rPr>
  </w:style>
  <w:style w:type="paragraph" w:styleId="Titre6">
    <w:name w:val="heading 6"/>
    <w:basedOn w:val="Normal"/>
    <w:next w:val="Normal"/>
    <w:qFormat/>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Policepardfaut1">
    <w:name w:val="Police par défau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6z0">
    <w:name w:val="WW8Num6z0"/>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Palatino Linotype" w:eastAsia="Times New Roman" w:hAnsi="Palatino Linotype" w:cs="Times New Roman"/>
    </w:rPr>
  </w:style>
  <w:style w:type="character" w:customStyle="1" w:styleId="WW8Num13z0">
    <w:name w:val="WW8Num13z0"/>
    <w:rPr>
      <w:rFonts w:ascii="Symbol" w:hAnsi="Symbol"/>
    </w:rPr>
  </w:style>
  <w:style w:type="character" w:customStyle="1" w:styleId="WW8Num17z0">
    <w:name w:val="WW8Num17z0"/>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Policepardfaut10">
    <w:name w:val="Police par défaut1"/>
  </w:style>
  <w:style w:type="character" w:styleId="Lienhypertexte">
    <w:name w:val="Hyperlink"/>
    <w:rPr>
      <w:color w:val="0000FF"/>
      <w:u w:val="single"/>
    </w:rPr>
  </w:style>
  <w:style w:type="character" w:customStyle="1" w:styleId="titre10">
    <w:name w:val="titre1"/>
    <w:rPr>
      <w:rFonts w:ascii="Trebuchet MS" w:hAnsi="Trebuchet MS"/>
      <w:b/>
      <w:bCs/>
      <w:color w:val="660033"/>
      <w:spacing w:val="12"/>
      <w:sz w:val="26"/>
      <w:szCs w:val="26"/>
    </w:rPr>
  </w:style>
  <w:style w:type="character" w:customStyle="1" w:styleId="signature1">
    <w:name w:val="signature1"/>
    <w:rPr>
      <w:rFonts w:ascii="Verdana" w:hAnsi="Verdana"/>
      <w:color w:val="990000"/>
      <w:sz w:val="13"/>
      <w:szCs w:val="13"/>
    </w:rPr>
  </w:style>
  <w:style w:type="character" w:customStyle="1" w:styleId="date1">
    <w:name w:val="date1"/>
    <w:rPr>
      <w:rFonts w:ascii="Arial" w:hAnsi="Arial" w:cs="Arial"/>
      <w:strike w:val="0"/>
      <w:dstrike w:val="0"/>
      <w:color w:val="999999"/>
      <w:sz w:val="13"/>
      <w:szCs w:val="13"/>
      <w:u w:val="none"/>
    </w:rPr>
  </w:style>
  <w:style w:type="character" w:customStyle="1" w:styleId="texteintro1">
    <w:name w:val="texteintro1"/>
    <w:rPr>
      <w:rFonts w:ascii="Verdana" w:hAnsi="Verdana"/>
      <w:b/>
      <w:bCs/>
      <w:color w:val="000000"/>
      <w:sz w:val="16"/>
      <w:szCs w:val="16"/>
    </w:rPr>
  </w:style>
  <w:style w:type="character" w:customStyle="1" w:styleId="actu-tit21">
    <w:name w:val="actu-tit21"/>
    <w:rPr>
      <w:rFonts w:ascii="Verdana" w:hAnsi="Verdana"/>
      <w:b/>
      <w:bCs/>
      <w:sz w:val="20"/>
      <w:szCs w:val="20"/>
    </w:rPr>
  </w:style>
  <w:style w:type="character" w:customStyle="1" w:styleId="art-tit1">
    <w:name w:val="art-tit1"/>
    <w:rPr>
      <w:rFonts w:ascii="Verdana" w:hAnsi="Verdana"/>
      <w:b/>
      <w:bCs/>
      <w:color w:val="B90000"/>
      <w:sz w:val="27"/>
      <w:szCs w:val="27"/>
    </w:rPr>
  </w:style>
  <w:style w:type="character" w:customStyle="1" w:styleId="art-aut1">
    <w:name w:val="art-aut1"/>
    <w:rPr>
      <w:rFonts w:ascii="Verdana" w:hAnsi="Verdana"/>
      <w:sz w:val="15"/>
      <w:szCs w:val="15"/>
    </w:rPr>
  </w:style>
  <w:style w:type="character" w:customStyle="1" w:styleId="actu-dat11">
    <w:name w:val="actu-dat11"/>
    <w:rPr>
      <w:rFonts w:ascii="Verdana" w:hAnsi="Verdana"/>
      <w:color w:val="999999"/>
      <w:sz w:val="14"/>
      <w:szCs w:val="14"/>
    </w:rPr>
  </w:style>
  <w:style w:type="character" w:customStyle="1" w:styleId="Caractresdenotedebasdepage">
    <w:name w:val="Caractères de note de bas de page"/>
    <w:rPr>
      <w:vertAlign w:val="superscript"/>
    </w:rPr>
  </w:style>
  <w:style w:type="character" w:styleId="Numrodepage">
    <w:name w:val="page number"/>
    <w:basedOn w:val="Policepardfaut10"/>
  </w:style>
  <w:style w:type="character" w:customStyle="1" w:styleId="Caractresdenumrotation">
    <w:name w:val="Caractères de numérotation"/>
  </w:style>
  <w:style w:type="paragraph" w:customStyle="1" w:styleId="Titre11">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itre12">
    <w:name w:val="Titre1"/>
    <w:basedOn w:val="Normal"/>
    <w:next w:val="Corpsdetexte"/>
    <w:pPr>
      <w:keepNext/>
      <w:spacing w:before="240" w:after="120"/>
    </w:pPr>
    <w:rPr>
      <w:rFonts w:ascii="Arial" w:eastAsia="MS Mincho" w:hAnsi="Arial" w:cs="Tahoma"/>
      <w:sz w:val="28"/>
      <w:szCs w:val="28"/>
    </w:rPr>
  </w:style>
  <w:style w:type="paragraph" w:customStyle="1" w:styleId="Lgende10">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pPr>
      <w:spacing w:before="100" w:after="100"/>
    </w:pPr>
    <w:rPr>
      <w:rFonts w:ascii="Arial Unicode MS" w:eastAsia="Arial Unicode MS" w:hAnsi="Arial Unicode MS" w:cs="Arial Unicode MS"/>
      <w:lang w:val="fr-FR"/>
    </w:rPr>
  </w:style>
  <w:style w:type="paragraph" w:customStyle="1" w:styleId="chapo">
    <w:name w:val="chapo"/>
    <w:basedOn w:val="Normal"/>
    <w:pPr>
      <w:spacing w:before="100" w:after="100"/>
      <w:jc w:val="both"/>
    </w:pPr>
    <w:rPr>
      <w:rFonts w:ascii="Verdana" w:eastAsia="Arial Unicode MS" w:hAnsi="Verdana"/>
      <w:b/>
      <w:color w:val="000000"/>
      <w:sz w:val="18"/>
      <w:lang w:val="en-GB"/>
    </w:rPr>
  </w:style>
  <w:style w:type="paragraph" w:customStyle="1" w:styleId="spip">
    <w:name w:val="spip"/>
    <w:basedOn w:val="Normal"/>
    <w:pPr>
      <w:spacing w:before="100" w:after="100"/>
    </w:pPr>
    <w:rPr>
      <w:rFonts w:ascii="Arial Unicode MS" w:eastAsia="Arial Unicode MS" w:hAnsi="Arial Unicode MS"/>
      <w:color w:val="000000"/>
      <w:lang w:val="en-GB"/>
    </w:rPr>
  </w:style>
  <w:style w:type="paragraph" w:styleId="Notedebasdepage">
    <w:name w:val="footnote text"/>
    <w:basedOn w:val="Normal"/>
    <w:rPr>
      <w:sz w:val="20"/>
    </w:rPr>
  </w:style>
  <w:style w:type="paragraph" w:customStyle="1" w:styleId="Textedebulles1">
    <w:name w:val="Texte de bulles1"/>
    <w:basedOn w:val="Normal"/>
    <w:rPr>
      <w:rFonts w:ascii="Tahoma" w:hAnsi="Tahoma" w:cs="Tahoma"/>
      <w:sz w:val="16"/>
      <w:szCs w:val="16"/>
    </w:rPr>
  </w:style>
  <w:style w:type="paragraph" w:customStyle="1" w:styleId="Corpsdetexte32">
    <w:name w:val="Corps de texte 32"/>
    <w:basedOn w:val="Normal"/>
    <w:rPr>
      <w:lang w:val="fr-FR"/>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rpsdetexte31">
    <w:name w:val="Corps de texte 31"/>
    <w:basedOn w:val="Normal"/>
    <w:rPr>
      <w:lang w:val="fr-FR"/>
    </w:rPr>
  </w:style>
  <w:style w:type="paragraph" w:customStyle="1" w:styleId="publiele1">
    <w:name w:val="publiele1"/>
    <w:basedOn w:val="Normal"/>
    <w:rsid w:val="00D31A39"/>
    <w:pPr>
      <w:suppressAutoHyphens w:val="0"/>
      <w:spacing w:after="150"/>
      <w:jc w:val="both"/>
    </w:pPr>
    <w:rPr>
      <w:color w:val="999999"/>
      <w:szCs w:val="24"/>
      <w:lang w:eastAsia="fr-BE"/>
    </w:rPr>
  </w:style>
  <w:style w:type="paragraph" w:customStyle="1" w:styleId="filariane1">
    <w:name w:val="fil_ariane1"/>
    <w:basedOn w:val="Normal"/>
    <w:rsid w:val="00D31A39"/>
    <w:pPr>
      <w:suppressAutoHyphens w:val="0"/>
      <w:spacing w:after="150"/>
      <w:jc w:val="both"/>
    </w:pPr>
    <w:rPr>
      <w:szCs w:val="24"/>
      <w:lang w:eastAsia="fr-BE"/>
    </w:rPr>
  </w:style>
  <w:style w:type="paragraph" w:customStyle="1" w:styleId="auteur1">
    <w:name w:val="auteur1"/>
    <w:basedOn w:val="Normal"/>
    <w:rsid w:val="00D31A39"/>
    <w:pPr>
      <w:suppressAutoHyphens w:val="0"/>
      <w:spacing w:before="120" w:after="120"/>
      <w:jc w:val="both"/>
    </w:pPr>
    <w:rPr>
      <w:color w:val="999999"/>
      <w:szCs w:val="24"/>
      <w:lang w:eastAsia="fr-BE"/>
    </w:rPr>
  </w:style>
  <w:style w:type="paragraph" w:styleId="Textedebulles">
    <w:name w:val="Balloon Text"/>
    <w:basedOn w:val="Normal"/>
    <w:link w:val="TextedebullesCar"/>
    <w:uiPriority w:val="99"/>
    <w:semiHidden/>
    <w:unhideWhenUsed/>
    <w:rsid w:val="00D31A39"/>
    <w:rPr>
      <w:rFonts w:ascii="Tahoma" w:hAnsi="Tahoma" w:cs="Tahoma"/>
      <w:sz w:val="16"/>
      <w:szCs w:val="16"/>
    </w:rPr>
  </w:style>
  <w:style w:type="character" w:customStyle="1" w:styleId="TextedebullesCar">
    <w:name w:val="Texte de bulles Car"/>
    <w:basedOn w:val="Policepardfaut"/>
    <w:link w:val="Textedebulles"/>
    <w:uiPriority w:val="99"/>
    <w:semiHidden/>
    <w:rsid w:val="00D31A39"/>
    <w:rPr>
      <w:rFonts w:ascii="Tahoma" w:hAnsi="Tahoma" w:cs="Tahoma"/>
      <w:sz w:val="16"/>
      <w:szCs w:val="16"/>
      <w:lang w:eastAsia="ar-SA"/>
    </w:rPr>
  </w:style>
  <w:style w:type="character" w:styleId="Appelnotedebasdep">
    <w:name w:val="footnote reference"/>
    <w:basedOn w:val="Policepardfaut"/>
    <w:uiPriority w:val="99"/>
    <w:semiHidden/>
    <w:unhideWhenUsed/>
    <w:rsid w:val="00F839CA"/>
    <w:rPr>
      <w:vertAlign w:val="superscript"/>
    </w:rPr>
  </w:style>
  <w:style w:type="paragraph" w:styleId="Paragraphedeliste">
    <w:name w:val="List Paragraph"/>
    <w:basedOn w:val="Normal"/>
    <w:uiPriority w:val="34"/>
    <w:qFormat/>
    <w:rsid w:val="00F839CA"/>
    <w:pPr>
      <w:ind w:left="720"/>
      <w:contextualSpacing/>
    </w:pPr>
  </w:style>
  <w:style w:type="character" w:customStyle="1" w:styleId="Titre4Car">
    <w:name w:val="Titre 4 Car"/>
    <w:basedOn w:val="Policepardfaut"/>
    <w:link w:val="Titre4"/>
    <w:uiPriority w:val="9"/>
    <w:rsid w:val="00442D07"/>
    <w:rPr>
      <w:rFonts w:eastAsia="Lucida Sans Unicode"/>
      <w:b/>
      <w:sz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17753">
      <w:bodyDiv w:val="1"/>
      <w:marLeft w:val="0"/>
      <w:marRight w:val="0"/>
      <w:marTop w:val="0"/>
      <w:marBottom w:val="0"/>
      <w:divBdr>
        <w:top w:val="none" w:sz="0" w:space="0" w:color="auto"/>
        <w:left w:val="none" w:sz="0" w:space="0" w:color="auto"/>
        <w:bottom w:val="none" w:sz="0" w:space="0" w:color="auto"/>
        <w:right w:val="none" w:sz="0" w:space="0" w:color="auto"/>
      </w:divBdr>
      <w:divsChild>
        <w:div w:id="1127430556">
          <w:marLeft w:val="0"/>
          <w:marRight w:val="0"/>
          <w:marTop w:val="0"/>
          <w:marBottom w:val="0"/>
          <w:divBdr>
            <w:top w:val="none" w:sz="0" w:space="0" w:color="auto"/>
            <w:left w:val="none" w:sz="0" w:space="0" w:color="auto"/>
            <w:bottom w:val="none" w:sz="0" w:space="0" w:color="auto"/>
            <w:right w:val="none" w:sz="0" w:space="0" w:color="auto"/>
          </w:divBdr>
          <w:divsChild>
            <w:div w:id="1507592101">
              <w:marLeft w:val="0"/>
              <w:marRight w:val="0"/>
              <w:marTop w:val="0"/>
              <w:marBottom w:val="0"/>
              <w:divBdr>
                <w:top w:val="none" w:sz="0" w:space="0" w:color="auto"/>
                <w:left w:val="none" w:sz="0" w:space="0" w:color="auto"/>
                <w:bottom w:val="none" w:sz="0" w:space="0" w:color="auto"/>
                <w:right w:val="none" w:sz="0" w:space="0" w:color="auto"/>
              </w:divBdr>
              <w:divsChild>
                <w:div w:id="726416837">
                  <w:marLeft w:val="0"/>
                  <w:marRight w:val="0"/>
                  <w:marTop w:val="0"/>
                  <w:marBottom w:val="0"/>
                  <w:divBdr>
                    <w:top w:val="none" w:sz="0" w:space="0" w:color="auto"/>
                    <w:left w:val="none" w:sz="0" w:space="0" w:color="auto"/>
                    <w:bottom w:val="none" w:sz="0" w:space="0" w:color="auto"/>
                    <w:right w:val="none" w:sz="0" w:space="0" w:color="auto"/>
                  </w:divBdr>
                  <w:divsChild>
                    <w:div w:id="409623836">
                      <w:marLeft w:val="0"/>
                      <w:marRight w:val="0"/>
                      <w:marTop w:val="0"/>
                      <w:marBottom w:val="0"/>
                      <w:divBdr>
                        <w:top w:val="none" w:sz="0" w:space="0" w:color="auto"/>
                        <w:left w:val="none" w:sz="0" w:space="0" w:color="auto"/>
                        <w:bottom w:val="none" w:sz="0" w:space="0" w:color="auto"/>
                        <w:right w:val="none" w:sz="0" w:space="0" w:color="auto"/>
                      </w:divBdr>
                      <w:divsChild>
                        <w:div w:id="987366935">
                          <w:marLeft w:val="0"/>
                          <w:marRight w:val="0"/>
                          <w:marTop w:val="0"/>
                          <w:marBottom w:val="0"/>
                          <w:divBdr>
                            <w:top w:val="none" w:sz="0" w:space="0" w:color="auto"/>
                            <w:left w:val="none" w:sz="0" w:space="0" w:color="auto"/>
                            <w:bottom w:val="none" w:sz="0" w:space="0" w:color="auto"/>
                            <w:right w:val="none" w:sz="0" w:space="0" w:color="auto"/>
                          </w:divBdr>
                          <w:divsChild>
                            <w:div w:id="1831362902">
                              <w:marLeft w:val="0"/>
                              <w:marRight w:val="0"/>
                              <w:marTop w:val="0"/>
                              <w:marBottom w:val="0"/>
                              <w:divBdr>
                                <w:top w:val="none" w:sz="0" w:space="0" w:color="auto"/>
                                <w:left w:val="none" w:sz="0" w:space="0" w:color="auto"/>
                                <w:bottom w:val="none" w:sz="0" w:space="0" w:color="auto"/>
                                <w:right w:val="none" w:sz="0" w:space="0" w:color="auto"/>
                              </w:divBdr>
                              <w:divsChild>
                                <w:div w:id="143090941">
                                  <w:marLeft w:val="0"/>
                                  <w:marRight w:val="0"/>
                                  <w:marTop w:val="0"/>
                                  <w:marBottom w:val="0"/>
                                  <w:divBdr>
                                    <w:top w:val="none" w:sz="0" w:space="0" w:color="auto"/>
                                    <w:left w:val="none" w:sz="0" w:space="0" w:color="auto"/>
                                    <w:bottom w:val="none" w:sz="0" w:space="0" w:color="auto"/>
                                    <w:right w:val="none" w:sz="0" w:space="0" w:color="auto"/>
                                  </w:divBdr>
                                  <w:divsChild>
                                    <w:div w:id="5862356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760265">
      <w:bodyDiv w:val="1"/>
      <w:marLeft w:val="0"/>
      <w:marRight w:val="0"/>
      <w:marTop w:val="0"/>
      <w:marBottom w:val="0"/>
      <w:divBdr>
        <w:top w:val="none" w:sz="0" w:space="0" w:color="auto"/>
        <w:left w:val="none" w:sz="0" w:space="0" w:color="auto"/>
        <w:bottom w:val="none" w:sz="0" w:space="0" w:color="auto"/>
        <w:right w:val="none" w:sz="0" w:space="0" w:color="auto"/>
      </w:divBdr>
      <w:divsChild>
        <w:div w:id="389623177">
          <w:marLeft w:val="0"/>
          <w:marRight w:val="0"/>
          <w:marTop w:val="0"/>
          <w:marBottom w:val="0"/>
          <w:divBdr>
            <w:top w:val="none" w:sz="0" w:space="0" w:color="auto"/>
            <w:left w:val="none" w:sz="0" w:space="0" w:color="auto"/>
            <w:bottom w:val="none" w:sz="0" w:space="0" w:color="auto"/>
            <w:right w:val="none" w:sz="0" w:space="0" w:color="auto"/>
          </w:divBdr>
          <w:divsChild>
            <w:div w:id="200748529">
              <w:marLeft w:val="0"/>
              <w:marRight w:val="0"/>
              <w:marTop w:val="0"/>
              <w:marBottom w:val="0"/>
              <w:divBdr>
                <w:top w:val="none" w:sz="0" w:space="0" w:color="auto"/>
                <w:left w:val="none" w:sz="0" w:space="0" w:color="auto"/>
                <w:bottom w:val="none" w:sz="0" w:space="0" w:color="auto"/>
                <w:right w:val="none" w:sz="0" w:space="0" w:color="auto"/>
              </w:divBdr>
              <w:divsChild>
                <w:div w:id="123816038">
                  <w:marLeft w:val="0"/>
                  <w:marRight w:val="0"/>
                  <w:marTop w:val="0"/>
                  <w:marBottom w:val="0"/>
                  <w:divBdr>
                    <w:top w:val="none" w:sz="0" w:space="0" w:color="auto"/>
                    <w:left w:val="none" w:sz="0" w:space="0" w:color="auto"/>
                    <w:bottom w:val="none" w:sz="0" w:space="0" w:color="auto"/>
                    <w:right w:val="none" w:sz="0" w:space="0" w:color="auto"/>
                  </w:divBdr>
                  <w:divsChild>
                    <w:div w:id="589125938">
                      <w:marLeft w:val="0"/>
                      <w:marRight w:val="0"/>
                      <w:marTop w:val="0"/>
                      <w:marBottom w:val="0"/>
                      <w:divBdr>
                        <w:top w:val="none" w:sz="0" w:space="0" w:color="auto"/>
                        <w:left w:val="none" w:sz="0" w:space="0" w:color="auto"/>
                        <w:bottom w:val="none" w:sz="0" w:space="0" w:color="auto"/>
                        <w:right w:val="none" w:sz="0" w:space="0" w:color="auto"/>
                      </w:divBdr>
                      <w:divsChild>
                        <w:div w:id="1148134980">
                          <w:marLeft w:val="0"/>
                          <w:marRight w:val="0"/>
                          <w:marTop w:val="0"/>
                          <w:marBottom w:val="0"/>
                          <w:divBdr>
                            <w:top w:val="none" w:sz="0" w:space="0" w:color="auto"/>
                            <w:left w:val="none" w:sz="0" w:space="0" w:color="auto"/>
                            <w:bottom w:val="none" w:sz="0" w:space="0" w:color="auto"/>
                            <w:right w:val="none" w:sz="0" w:space="0" w:color="auto"/>
                          </w:divBdr>
                          <w:divsChild>
                            <w:div w:id="188689926">
                              <w:marLeft w:val="0"/>
                              <w:marRight w:val="0"/>
                              <w:marTop w:val="0"/>
                              <w:marBottom w:val="0"/>
                              <w:divBdr>
                                <w:top w:val="none" w:sz="0" w:space="0" w:color="auto"/>
                                <w:left w:val="none" w:sz="0" w:space="0" w:color="auto"/>
                                <w:bottom w:val="none" w:sz="0" w:space="0" w:color="auto"/>
                                <w:right w:val="none" w:sz="0" w:space="0" w:color="auto"/>
                              </w:divBdr>
                              <w:divsChild>
                                <w:div w:id="1534414403">
                                  <w:marLeft w:val="0"/>
                                  <w:marRight w:val="0"/>
                                  <w:marTop w:val="0"/>
                                  <w:marBottom w:val="0"/>
                                  <w:divBdr>
                                    <w:top w:val="none" w:sz="0" w:space="0" w:color="auto"/>
                                    <w:left w:val="none" w:sz="0" w:space="0" w:color="auto"/>
                                    <w:bottom w:val="none" w:sz="0" w:space="0" w:color="auto"/>
                                    <w:right w:val="none" w:sz="0" w:space="0" w:color="auto"/>
                                  </w:divBdr>
                                  <w:divsChild>
                                    <w:div w:id="320155614">
                                      <w:marLeft w:val="0"/>
                                      <w:marRight w:val="0"/>
                                      <w:marTop w:val="0"/>
                                      <w:marBottom w:val="0"/>
                                      <w:divBdr>
                                        <w:top w:val="none" w:sz="0" w:space="0" w:color="auto"/>
                                        <w:left w:val="none" w:sz="0" w:space="0" w:color="auto"/>
                                        <w:bottom w:val="none" w:sz="0" w:space="0" w:color="auto"/>
                                        <w:right w:val="none" w:sz="0" w:space="0" w:color="auto"/>
                                      </w:divBdr>
                                      <w:divsChild>
                                        <w:div w:id="1318726017">
                                          <w:marLeft w:val="0"/>
                                          <w:marRight w:val="0"/>
                                          <w:marTop w:val="0"/>
                                          <w:marBottom w:val="0"/>
                                          <w:divBdr>
                                            <w:top w:val="none" w:sz="0" w:space="0" w:color="auto"/>
                                            <w:left w:val="none" w:sz="0" w:space="0" w:color="auto"/>
                                            <w:bottom w:val="none" w:sz="0" w:space="0" w:color="auto"/>
                                            <w:right w:val="none" w:sz="0" w:space="0" w:color="auto"/>
                                          </w:divBdr>
                                        </w:div>
                                        <w:div w:id="1042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sechos.fr/monde/europe/0203944155587-bce-mario-draghi-pense-tout-haut-a-des-rachats-de-titres-souverains-1065197.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sechos.fr/journal20141106/lec1_monde/0203915992115-mario-draghi-confronte-a-une-fronde-au-sein-de-la-bce-1061431.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sechos.fr/journalistes/index.php?id=9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1A342-B65D-4268-8B1F-49990569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1103</Words>
  <Characters>6069</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Dans un système de parités fixes, les déséquilibres temporaires de la balance des paiements sont couverts par les mouvements d</vt:lpstr>
      <vt:lpstr>Dans un système de parités fixes, les déséquilibres temporaires de la balance des paiements sont couverts par les mouvements d</vt:lpstr>
    </vt:vector>
  </TitlesOfParts>
  <Company/>
  <LinksUpToDate>false</LinksUpToDate>
  <CharactersWithSpaces>7158</CharactersWithSpaces>
  <SharedDoc>false</SharedDoc>
  <HLinks>
    <vt:vector size="12" baseType="variant">
      <vt:variant>
        <vt:i4>1966189</vt:i4>
      </vt:variant>
      <vt:variant>
        <vt:i4>3</vt:i4>
      </vt:variant>
      <vt:variant>
        <vt:i4>0</vt:i4>
      </vt:variant>
      <vt:variant>
        <vt:i4>5</vt:i4>
      </vt:variant>
      <vt:variant>
        <vt:lpwstr>http://fr.wikipedia.org/wiki/Concurrence_%C3%A9conomique</vt:lpwstr>
      </vt:variant>
      <vt:variant>
        <vt:lpwstr/>
      </vt:variant>
      <vt:variant>
        <vt:i4>1310812</vt:i4>
      </vt:variant>
      <vt:variant>
        <vt:i4>0</vt:i4>
      </vt:variant>
      <vt:variant>
        <vt:i4>0</vt:i4>
      </vt:variant>
      <vt:variant>
        <vt:i4>5</vt:i4>
      </vt:variant>
      <vt:variant>
        <vt:lpwstr>http://fr.wikipedia.org/wiki/March%C3%A9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un système de parités fixes, les déséquilibres temporaires de la balance des paiements sont couverts par les mouvements d</dc:title>
  <dc:creator>Valle</dc:creator>
  <cp:lastModifiedBy>ahannon</cp:lastModifiedBy>
  <cp:revision>34</cp:revision>
  <cp:lastPrinted>2015-11-17T08:02:00Z</cp:lastPrinted>
  <dcterms:created xsi:type="dcterms:W3CDTF">2014-10-20T13:57:00Z</dcterms:created>
  <dcterms:modified xsi:type="dcterms:W3CDTF">2015-11-17T08:05:00Z</dcterms:modified>
</cp:coreProperties>
</file>